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p>
    <w:p>
      <w:pPr>
        <w:ind w:firstLine="300"/>
        <w:spacing w:line="360" w:lineRule="auto"/>
        <w:rPr>
          <w:sz w:val="60"/>
          <w:szCs w:val="60"/>
          <w:highlight w:val="none"/>
        </w:rPr>
      </w:pPr>
      <w:r>
        <w:rPr>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360" w:lineRule="auto"/>
        <w:rPr>
          <w:b/>
          <w:bCs/>
          <w:sz w:val="60"/>
          <w:szCs w:val="60"/>
          <w:highlight w:val="none"/>
        </w:rPr>
      </w:pPr>
      <w:r>
        <w:rPr>
          <w:b/>
          <w:bCs/>
          <w:sz w:val="60"/>
          <w:szCs w:val="60"/>
          <w:highlight w:val="none"/>
        </w:rPr>
        <w:t xml:space="preserve">竞争性磋商文件</w:t>
      </w:r>
      <w:r/>
    </w:p>
    <w:p>
      <w:pPr>
        <w:jc w:val="center"/>
        <w:spacing w:line="360" w:lineRule="auto"/>
        <w:rPr>
          <w:rFonts w:ascii="宋体" w:hAnsi="宋体"/>
          <w:b/>
          <w:bCs/>
          <w:sz w:val="60"/>
          <w:szCs w:val="60"/>
          <w:highlight w:val="none"/>
        </w:rPr>
      </w:pPr>
      <w:r>
        <w:rPr>
          <w:rFonts w:hint="eastAsia" w:ascii="方正仿宋_GBK" w:hAnsi="方正仿宋_GBK" w:eastAsia="方正仿宋_GBK" w:cs="方正仿宋_GBK"/>
          <w:b w:val="0"/>
          <w:bCs w:val="0"/>
          <w:sz w:val="60"/>
          <w:szCs w:val="60"/>
          <w:highlight w:val="none"/>
        </w:rPr>
        <w:t xml:space="preserve">（</w:t>
      </w:r>
      <w:r>
        <w:rPr>
          <w:rFonts w:hint="eastAsia" w:ascii="方正仿宋_GBK" w:hAnsi="方正仿宋_GBK" w:eastAsia="方正仿宋_GBK" w:cs="方正仿宋_GBK"/>
          <w:b w:val="0"/>
          <w:bCs w:val="0"/>
          <w:sz w:val="60"/>
          <w:szCs w:val="60"/>
          <w:highlight w:val="none"/>
          <w:lang w:val="en-US" w:eastAsia="zh-CN"/>
        </w:rPr>
        <w:t xml:space="preserve">服务类</w:t>
      </w:r>
      <w:r>
        <w:rPr>
          <w:rFonts w:hint="eastAsia" w:ascii="方正仿宋_GBK" w:hAnsi="方正仿宋_GBK" w:eastAsia="方正仿宋_GBK" w:cs="方正仿宋_GBK"/>
          <w:b w:val="0"/>
          <w:bCs w:val="0"/>
          <w:sz w:val="60"/>
          <w:szCs w:val="60"/>
          <w:highlight w:val="none"/>
        </w:rPr>
        <w:t xml:space="preserve">）</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tabs>
          <w:tab w:val="left" w:pos="5609" w:leader="none"/>
        </w:tabs>
        <w:rPr>
          <w:bCs/>
          <w:sz w:val="36"/>
          <w:szCs w:val="36"/>
          <w:highlight w:val="none"/>
        </w:rPr>
      </w:pPr>
      <w:r>
        <w:rPr>
          <w:bCs/>
          <w:sz w:val="36"/>
          <w:szCs w:val="36"/>
          <w:highlight w:val="none"/>
        </w:rPr>
        <w:t xml:space="preserve">项目名称：</w:t>
      </w:r>
      <w:r>
        <w:rPr>
          <w:bCs/>
          <w:sz w:val="36"/>
          <w:szCs w:val="36"/>
          <w:highlight w:val="none"/>
        </w:rPr>
        <w:tab/>
      </w:r>
      <w:r>
        <w:rPr>
          <w:rFonts w:hint="eastAsia"/>
          <w:bCs/>
          <w:sz w:val="36"/>
          <w:szCs w:val="36"/>
          <w:highlight w:val="none"/>
          <w:lang w:eastAsia="zh-CN"/>
        </w:rPr>
        <w:t xml:space="preserve">古县街道食堂人员委托管理项目</w:t>
      </w:r>
      <w:r>
        <w:rPr>
          <w:bCs/>
          <w:sz w:val="36"/>
          <w:szCs w:val="36"/>
          <w:highlight w:val="none"/>
        </w:rPr>
        <w:tab/>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JSZC-320481-TZGL-C2025-0003</w:t>
      </w:r>
      <w:r/>
    </w:p>
    <w:p>
      <w:pPr>
        <w:ind w:left="2832" w:hanging="1900"/>
        <w:jc w:val="left"/>
        <w:spacing w:line="360" w:lineRule="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采 购 人：</w:t>
      </w:r>
      <w:r>
        <w:rPr>
          <w:rFonts w:hint="eastAsia"/>
          <w:bCs/>
          <w:sz w:val="36"/>
          <w:szCs w:val="36"/>
          <w:highlight w:val="none"/>
          <w:lang w:val="en-US" w:eastAsia="zh-CN"/>
        </w:rPr>
        <w:t xml:space="preserve">溧阳市人民政府古县街道办事处</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代理机构：</w:t>
      </w:r>
      <w:r>
        <w:rPr>
          <w:rFonts w:hint="eastAsia"/>
          <w:bCs/>
          <w:sz w:val="36"/>
          <w:szCs w:val="36"/>
          <w:highlight w:val="none"/>
          <w:lang w:val="en-US" w:eastAsia="zh-CN"/>
        </w:rPr>
        <w:t xml:space="preserve">溧阳市天曌项目管理有限公司</w:t>
      </w:r>
      <w:r>
        <w:rPr>
          <w:bCs/>
          <w:sz w:val="36"/>
          <w:szCs w:val="36"/>
          <w:highlight w:val="none"/>
        </w:rPr>
        <w:t xml:space="preserve"> </w:t>
      </w:r>
      <w:r/>
    </w:p>
    <w:p>
      <w:pPr>
        <w:jc w:val="center"/>
        <w:spacing w:line="360" w:lineRule="auto"/>
        <w:rPr>
          <w:b/>
          <w:sz w:val="36"/>
          <w:szCs w:val="36"/>
          <w:highlight w:val="none"/>
        </w:rPr>
        <w:outlineLvl w:val="0"/>
      </w:pPr>
      <w:r>
        <w:rPr>
          <w:b/>
          <w:bCs/>
          <w:sz w:val="44"/>
          <w:highlight w:val="none"/>
        </w:rPr>
        <w:br w:type="page" w:clear="all"/>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pStyle w:val="970"/>
        <w:spacing w:line="360" w:lineRule="auto"/>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70"/>
        <w:spacing w:line="360" w:lineRule="auto"/>
        <w:rPr>
          <w:rFonts w:ascii="Calibri" w:hAnsi="Calibri"/>
          <w:b w:val="0"/>
          <w:sz w:val="21"/>
          <w:szCs w:val="22"/>
          <w:highlight w:val="none"/>
        </w:rPr>
      </w:pPr>
      <w:r>
        <w:rPr>
          <w:rStyle w:val="975"/>
          <w:highlight w:val="none"/>
        </w:rPr>
        <w:fldChar w:fldCharType="begin"/>
      </w:r>
      <w:r>
        <w:rPr>
          <w:rStyle w:val="975"/>
          <w:highlight w:val="none"/>
        </w:rPr>
        <w:instrText xml:space="preserve"> </w:instrText>
      </w:r>
      <w:r>
        <w:rPr>
          <w:highlight w:val="none"/>
        </w:rPr>
        <w:instrText xml:space="preserve">HYPERLINK \l "_Toc104818925"</w:instrText>
      </w:r>
      <w:r>
        <w:rPr>
          <w:rStyle w:val="975"/>
          <w:highlight w:val="none"/>
        </w:rPr>
        <w:instrText xml:space="preserve"> </w:instrText>
      </w:r>
      <w:r>
        <w:rPr>
          <w:rStyle w:val="975"/>
          <w:highlight w:val="none"/>
        </w:rPr>
        <w:fldChar w:fldCharType="separate"/>
      </w:r>
      <w:r>
        <w:rPr>
          <w:rStyle w:val="975"/>
          <w:rFonts w:hint="eastAsia"/>
          <w:highlight w:val="none"/>
        </w:rPr>
        <w:t xml:space="preserve">第一章</w:t>
      </w:r>
      <w:r>
        <w:rPr>
          <w:rStyle w:val="975"/>
          <w:highlight w:val="none"/>
        </w:rPr>
        <w:t xml:space="preserve">   </w:t>
      </w:r>
      <w:r>
        <w:rPr>
          <w:rStyle w:val="975"/>
          <w:rFonts w:hint="eastAsia"/>
          <w:highlight w:val="none"/>
        </w:rPr>
        <w:t xml:space="preserve">采购邀请</w:t>
      </w:r>
      <w:r>
        <w:rPr>
          <w:highlight w:val="none"/>
        </w:rPr>
        <w:tab/>
      </w:r>
      <w:r>
        <w:rPr>
          <w:highlight w:val="none"/>
        </w:rPr>
        <w:fldChar w:fldCharType="begin"/>
      </w:r>
      <w:r>
        <w:rPr>
          <w:highlight w:val="none"/>
        </w:rPr>
        <w:instrText xml:space="preserve"> PAGEREF _Toc104818925 \h </w:instrText>
      </w:r>
      <w:r>
        <w:rPr>
          <w:highlight w:val="none"/>
        </w:rPr>
        <w:fldChar w:fldCharType="separate"/>
      </w:r>
      <w:r>
        <w:rPr>
          <w:highlight w:val="none"/>
        </w:rPr>
        <w:t xml:space="preserve">1</w:t>
      </w:r>
      <w:r>
        <w:rPr>
          <w:highlight w:val="none"/>
        </w:rPr>
        <w:fldChar w:fldCharType="end"/>
      </w:r>
      <w:r>
        <w:rPr>
          <w:rStyle w:val="975"/>
          <w:highlight w:val="none"/>
        </w:rPr>
        <w:fldChar w:fldCharType="end"/>
      </w:r>
      <w:r/>
    </w:p>
    <w:p>
      <w:pPr>
        <w:pStyle w:val="970"/>
        <w:spacing w:line="360" w:lineRule="auto"/>
        <w:rPr>
          <w:rFonts w:ascii="Calibri" w:hAnsi="Calibri"/>
          <w:b w:val="0"/>
          <w:sz w:val="21"/>
          <w:szCs w:val="22"/>
          <w:highlight w:val="none"/>
        </w:rPr>
      </w:pPr>
      <w:r>
        <w:rPr>
          <w:rStyle w:val="975"/>
          <w:highlight w:val="none"/>
        </w:rPr>
        <w:fldChar w:fldCharType="begin"/>
      </w:r>
      <w:r>
        <w:rPr>
          <w:rStyle w:val="975"/>
          <w:highlight w:val="none"/>
        </w:rPr>
        <w:instrText xml:space="preserve"> </w:instrText>
      </w:r>
      <w:r>
        <w:rPr>
          <w:highlight w:val="none"/>
        </w:rPr>
        <w:instrText xml:space="preserve">HYPERLINK \l "_Toc104818926"</w:instrText>
      </w:r>
      <w:r>
        <w:rPr>
          <w:rStyle w:val="975"/>
          <w:highlight w:val="none"/>
        </w:rPr>
        <w:instrText xml:space="preserve"> </w:instrText>
      </w:r>
      <w:r>
        <w:rPr>
          <w:rStyle w:val="975"/>
          <w:highlight w:val="none"/>
        </w:rPr>
        <w:fldChar w:fldCharType="separate"/>
      </w:r>
      <w:r>
        <w:rPr>
          <w:rStyle w:val="975"/>
          <w:rFonts w:hint="eastAsia"/>
          <w:highlight w:val="none"/>
        </w:rPr>
        <w:t xml:space="preserve">第二章</w:t>
      </w:r>
      <w:r>
        <w:rPr>
          <w:rStyle w:val="975"/>
          <w:highlight w:val="none"/>
        </w:rPr>
        <w:t xml:space="preserve">   </w:t>
      </w:r>
      <w:r>
        <w:rPr>
          <w:rStyle w:val="975"/>
          <w:rFonts w:hint="eastAsia"/>
          <w:highlight w:val="none"/>
        </w:rPr>
        <w:t xml:space="preserve">供应商须知</w:t>
      </w:r>
      <w:r>
        <w:rPr>
          <w:highlight w:val="none"/>
        </w:rPr>
        <w:tab/>
      </w:r>
      <w:r>
        <w:rPr>
          <w:highlight w:val="none"/>
        </w:rPr>
        <w:fldChar w:fldCharType="begin"/>
      </w:r>
      <w:r>
        <w:rPr>
          <w:highlight w:val="none"/>
        </w:rPr>
        <w:instrText xml:space="preserve"> PAGEREF _Toc104818926 \h </w:instrText>
      </w:r>
      <w:r>
        <w:rPr>
          <w:highlight w:val="none"/>
        </w:rPr>
        <w:fldChar w:fldCharType="separate"/>
      </w:r>
      <w:r>
        <w:rPr>
          <w:highlight w:val="none"/>
        </w:rPr>
        <w:t xml:space="preserve">4</w:t>
      </w:r>
      <w:r>
        <w:rPr>
          <w:highlight w:val="none"/>
        </w:rPr>
        <w:fldChar w:fldCharType="end"/>
      </w:r>
      <w:r>
        <w:rPr>
          <w:rStyle w:val="975"/>
          <w:highlight w:val="none"/>
        </w:rPr>
        <w:fldChar w:fldCharType="end"/>
      </w:r>
      <w:r/>
    </w:p>
    <w:p>
      <w:pPr>
        <w:pStyle w:val="970"/>
        <w:spacing w:line="360" w:lineRule="auto"/>
        <w:rPr>
          <w:rFonts w:ascii="Calibri" w:hAnsi="Calibri"/>
          <w:b w:val="0"/>
          <w:sz w:val="21"/>
          <w:szCs w:val="22"/>
          <w:highlight w:val="none"/>
        </w:rPr>
      </w:pPr>
      <w:r>
        <w:rPr>
          <w:rStyle w:val="975"/>
          <w:highlight w:val="none"/>
        </w:rPr>
        <w:fldChar w:fldCharType="begin"/>
      </w:r>
      <w:r>
        <w:rPr>
          <w:rStyle w:val="975"/>
          <w:highlight w:val="none"/>
        </w:rPr>
        <w:instrText xml:space="preserve"> </w:instrText>
      </w:r>
      <w:r>
        <w:rPr>
          <w:highlight w:val="none"/>
        </w:rPr>
        <w:instrText xml:space="preserve">HYPERLINK \l "_Toc104818927"</w:instrText>
      </w:r>
      <w:r>
        <w:rPr>
          <w:rStyle w:val="975"/>
          <w:highlight w:val="none"/>
        </w:rPr>
        <w:instrText xml:space="preserve"> </w:instrText>
      </w:r>
      <w:r>
        <w:rPr>
          <w:rStyle w:val="975"/>
          <w:highlight w:val="none"/>
        </w:rPr>
        <w:fldChar w:fldCharType="separate"/>
      </w:r>
      <w:r>
        <w:rPr>
          <w:rStyle w:val="975"/>
          <w:rFonts w:hint="eastAsia"/>
          <w:highlight w:val="none"/>
        </w:rPr>
        <w:t xml:space="preserve">第三章</w:t>
      </w:r>
      <w:r>
        <w:rPr>
          <w:rStyle w:val="975"/>
          <w:highlight w:val="none"/>
        </w:rPr>
        <w:t xml:space="preserve">   </w:t>
      </w:r>
      <w:r>
        <w:rPr>
          <w:rStyle w:val="975"/>
          <w:rFonts w:hint="eastAsia"/>
          <w:highlight w:val="none"/>
        </w:rPr>
        <w:t xml:space="preserve">评审程序、评审方法和评审标准</w:t>
      </w:r>
      <w:r>
        <w:rPr>
          <w:highlight w:val="none"/>
        </w:rPr>
        <w:tab/>
      </w:r>
      <w:r>
        <w:rPr>
          <w:highlight w:val="none"/>
        </w:rPr>
        <w:fldChar w:fldCharType="begin"/>
      </w:r>
      <w:r>
        <w:rPr>
          <w:highlight w:val="none"/>
        </w:rPr>
        <w:instrText xml:space="preserve"> PAGEREF _Toc104818927 \h </w:instrText>
      </w:r>
      <w:r>
        <w:rPr>
          <w:highlight w:val="none"/>
        </w:rPr>
        <w:fldChar w:fldCharType="separate"/>
      </w:r>
      <w:r>
        <w:rPr>
          <w:highlight w:val="none"/>
        </w:rPr>
        <w:t xml:space="preserve">17</w:t>
      </w:r>
      <w:r>
        <w:rPr>
          <w:highlight w:val="none"/>
        </w:rPr>
        <w:fldChar w:fldCharType="end"/>
      </w:r>
      <w:r>
        <w:rPr>
          <w:rStyle w:val="975"/>
          <w:highlight w:val="none"/>
        </w:rPr>
        <w:fldChar w:fldCharType="end"/>
      </w:r>
      <w:r/>
    </w:p>
    <w:p>
      <w:pPr>
        <w:pStyle w:val="970"/>
        <w:spacing w:line="360" w:lineRule="auto"/>
        <w:rPr>
          <w:rFonts w:ascii="Calibri" w:hAnsi="Calibri"/>
          <w:b w:val="0"/>
          <w:sz w:val="21"/>
          <w:szCs w:val="22"/>
          <w:highlight w:val="none"/>
        </w:rPr>
      </w:pPr>
      <w:r>
        <w:rPr>
          <w:rStyle w:val="975"/>
          <w:highlight w:val="none"/>
        </w:rPr>
        <w:fldChar w:fldCharType="begin"/>
      </w:r>
      <w:r>
        <w:rPr>
          <w:rStyle w:val="975"/>
          <w:highlight w:val="none"/>
        </w:rPr>
        <w:instrText xml:space="preserve"> </w:instrText>
      </w:r>
      <w:r>
        <w:rPr>
          <w:highlight w:val="none"/>
        </w:rPr>
        <w:instrText xml:space="preserve">HYPERLINK \l "_Toc104818928"</w:instrText>
      </w:r>
      <w:r>
        <w:rPr>
          <w:rStyle w:val="975"/>
          <w:highlight w:val="none"/>
        </w:rPr>
        <w:instrText xml:space="preserve"> </w:instrText>
      </w:r>
      <w:r>
        <w:rPr>
          <w:rStyle w:val="975"/>
          <w:highlight w:val="none"/>
        </w:rPr>
        <w:fldChar w:fldCharType="separate"/>
      </w:r>
      <w:r>
        <w:rPr>
          <w:rStyle w:val="975"/>
          <w:rFonts w:hint="eastAsia"/>
          <w:highlight w:val="none"/>
        </w:rPr>
        <w:t xml:space="preserve">第四章</w:t>
      </w:r>
      <w:r>
        <w:rPr>
          <w:rStyle w:val="975"/>
          <w:highlight w:val="none"/>
        </w:rPr>
        <w:t xml:space="preserve">   </w:t>
      </w:r>
      <w:r>
        <w:rPr>
          <w:rStyle w:val="975"/>
          <w:rFonts w:hint="eastAsia"/>
          <w:highlight w:val="none"/>
        </w:rPr>
        <w:t xml:space="preserve">采购需求</w:t>
      </w:r>
      <w:r>
        <w:rPr>
          <w:highlight w:val="none"/>
        </w:rPr>
        <w:tab/>
      </w:r>
      <w:r>
        <w:rPr>
          <w:highlight w:val="none"/>
        </w:rPr>
        <w:fldChar w:fldCharType="begin"/>
      </w:r>
      <w:r>
        <w:rPr>
          <w:highlight w:val="none"/>
        </w:rPr>
        <w:instrText xml:space="preserve"> PAGEREF _Toc104818928 \h </w:instrText>
      </w:r>
      <w:r>
        <w:rPr>
          <w:highlight w:val="none"/>
        </w:rPr>
        <w:fldChar w:fldCharType="separate"/>
      </w:r>
      <w:r>
        <w:rPr>
          <w:highlight w:val="none"/>
        </w:rPr>
        <w:t xml:space="preserve">28</w:t>
      </w:r>
      <w:r>
        <w:rPr>
          <w:highlight w:val="none"/>
        </w:rPr>
        <w:fldChar w:fldCharType="end"/>
      </w:r>
      <w:r>
        <w:rPr>
          <w:rStyle w:val="975"/>
          <w:highlight w:val="none"/>
        </w:rPr>
        <w:fldChar w:fldCharType="end"/>
      </w:r>
      <w:r/>
    </w:p>
    <w:p>
      <w:pPr>
        <w:pStyle w:val="970"/>
        <w:spacing w:line="360" w:lineRule="auto"/>
        <w:rPr>
          <w:rFonts w:ascii="Calibri" w:hAnsi="Calibri"/>
          <w:b w:val="0"/>
          <w:sz w:val="21"/>
          <w:szCs w:val="22"/>
          <w:highlight w:val="none"/>
        </w:rPr>
      </w:pPr>
      <w:r>
        <w:rPr>
          <w:rStyle w:val="975"/>
          <w:highlight w:val="none"/>
        </w:rPr>
        <w:fldChar w:fldCharType="begin"/>
      </w:r>
      <w:r>
        <w:rPr>
          <w:rStyle w:val="975"/>
          <w:highlight w:val="none"/>
        </w:rPr>
        <w:instrText xml:space="preserve"> </w:instrText>
      </w:r>
      <w:r>
        <w:rPr>
          <w:highlight w:val="none"/>
        </w:rPr>
        <w:instrText xml:space="preserve">HYPERLINK \l "_Toc104818929"</w:instrText>
      </w:r>
      <w:r>
        <w:rPr>
          <w:rStyle w:val="975"/>
          <w:highlight w:val="none"/>
        </w:rPr>
        <w:instrText xml:space="preserve"> </w:instrText>
      </w:r>
      <w:r>
        <w:rPr>
          <w:rStyle w:val="975"/>
          <w:highlight w:val="none"/>
        </w:rPr>
        <w:fldChar w:fldCharType="separate"/>
      </w:r>
      <w:r>
        <w:rPr>
          <w:rStyle w:val="975"/>
          <w:rFonts w:hint="eastAsia"/>
          <w:highlight w:val="none"/>
        </w:rPr>
        <w:t xml:space="preserve">第五章</w:t>
      </w:r>
      <w:r>
        <w:rPr>
          <w:rStyle w:val="975"/>
          <w:highlight w:val="none"/>
        </w:rPr>
        <w:t xml:space="preserve">   </w:t>
      </w:r>
      <w:r>
        <w:rPr>
          <w:rStyle w:val="975"/>
          <w:rFonts w:hint="eastAsia"/>
          <w:highlight w:val="none"/>
        </w:rPr>
        <w:t xml:space="preserve">合同草案条款</w:t>
      </w:r>
      <w:r>
        <w:rPr>
          <w:highlight w:val="none"/>
        </w:rPr>
        <w:tab/>
      </w:r>
      <w:r>
        <w:rPr>
          <w:highlight w:val="none"/>
        </w:rPr>
        <w:fldChar w:fldCharType="begin"/>
      </w:r>
      <w:r>
        <w:rPr>
          <w:highlight w:val="none"/>
        </w:rPr>
        <w:instrText xml:space="preserve"> PAGEREF _Toc104818929 \h </w:instrText>
      </w:r>
      <w:r>
        <w:rPr>
          <w:highlight w:val="none"/>
        </w:rPr>
        <w:fldChar w:fldCharType="separate"/>
      </w:r>
      <w:r>
        <w:rPr>
          <w:highlight w:val="none"/>
        </w:rPr>
        <w:t xml:space="preserve">30</w:t>
      </w:r>
      <w:r>
        <w:rPr>
          <w:highlight w:val="none"/>
        </w:rPr>
        <w:fldChar w:fldCharType="end"/>
      </w:r>
      <w:r>
        <w:rPr>
          <w:rStyle w:val="975"/>
          <w:highlight w:val="none"/>
        </w:rPr>
        <w:fldChar w:fldCharType="end"/>
      </w:r>
      <w:r/>
    </w:p>
    <w:p>
      <w:pPr>
        <w:pStyle w:val="970"/>
        <w:spacing w:line="360" w:lineRule="auto"/>
        <w:rPr>
          <w:rFonts w:ascii="Calibri" w:hAnsi="Calibri"/>
          <w:b w:val="0"/>
          <w:sz w:val="21"/>
          <w:szCs w:val="22"/>
          <w:highlight w:val="none"/>
        </w:rPr>
      </w:pPr>
      <w:r>
        <w:rPr>
          <w:rStyle w:val="975"/>
          <w:highlight w:val="none"/>
        </w:rPr>
        <w:fldChar w:fldCharType="begin"/>
      </w:r>
      <w:r>
        <w:rPr>
          <w:rStyle w:val="975"/>
          <w:highlight w:val="none"/>
        </w:rPr>
        <w:instrText xml:space="preserve"> </w:instrText>
      </w:r>
      <w:r>
        <w:rPr>
          <w:highlight w:val="none"/>
        </w:rPr>
        <w:instrText xml:space="preserve">HYPERLINK \l "_Toc104818930"</w:instrText>
      </w:r>
      <w:r>
        <w:rPr>
          <w:rStyle w:val="975"/>
          <w:highlight w:val="none"/>
        </w:rPr>
        <w:instrText xml:space="preserve"> </w:instrText>
      </w:r>
      <w:r>
        <w:rPr>
          <w:rStyle w:val="975"/>
          <w:highlight w:val="none"/>
        </w:rPr>
        <w:fldChar w:fldCharType="separate"/>
      </w:r>
      <w:r>
        <w:rPr>
          <w:rStyle w:val="975"/>
          <w:rFonts w:hint="eastAsia"/>
          <w:highlight w:val="none"/>
        </w:rPr>
        <w:t xml:space="preserve">第六章</w:t>
      </w:r>
      <w:r>
        <w:rPr>
          <w:rStyle w:val="975"/>
          <w:highlight w:val="none"/>
        </w:rPr>
        <w:t xml:space="preserve">   </w:t>
      </w:r>
      <w:r>
        <w:rPr>
          <w:rStyle w:val="975"/>
          <w:rFonts w:hint="eastAsia"/>
          <w:highlight w:val="none"/>
        </w:rPr>
        <w:t xml:space="preserve">响应文件格式</w:t>
      </w:r>
      <w:r>
        <w:rPr>
          <w:highlight w:val="none"/>
        </w:rPr>
        <w:tab/>
      </w:r>
      <w:r>
        <w:rPr>
          <w:highlight w:val="none"/>
        </w:rPr>
        <w:fldChar w:fldCharType="begin"/>
      </w:r>
      <w:r>
        <w:rPr>
          <w:highlight w:val="none"/>
        </w:rPr>
        <w:instrText xml:space="preserve"> PAGEREF _Toc104818930 \h </w:instrText>
      </w:r>
      <w:r>
        <w:rPr>
          <w:highlight w:val="none"/>
        </w:rPr>
        <w:fldChar w:fldCharType="separate"/>
      </w:r>
      <w:r>
        <w:rPr>
          <w:highlight w:val="none"/>
        </w:rPr>
        <w:t xml:space="preserve">31</w:t>
      </w:r>
      <w:r>
        <w:rPr>
          <w:highlight w:val="none"/>
        </w:rPr>
        <w:fldChar w:fldCharType="end"/>
      </w:r>
      <w:r>
        <w:rPr>
          <w:rStyle w:val="975"/>
          <w:highlight w:val="none"/>
        </w:rPr>
        <w:fldChar w:fldCharType="end"/>
      </w:r>
      <w:r/>
    </w:p>
    <w:p>
      <w:pPr>
        <w:pStyle w:val="970"/>
        <w:spacing w:line="360" w:lineRule="auto"/>
        <w:rPr>
          <w:rFonts w:ascii="Times New Roman" w:hAnsi="Times New Roman"/>
          <w:b w:val="0"/>
          <w:highlight w:val="none"/>
        </w:rPr>
      </w:pPr>
      <w:r>
        <w:rPr>
          <w:rFonts w:ascii="Times New Roman" w:hAnsi="Times New Roman"/>
          <w:b w:val="0"/>
          <w:highlight w:val="none"/>
        </w:rPr>
        <w:fldChar w:fldCharType="end"/>
      </w:r>
      <w:r/>
    </w:p>
    <w:p>
      <w:pPr>
        <w:pStyle w:val="970"/>
        <w:spacing w:line="360" w:lineRule="auto"/>
        <w:rPr>
          <w:b w:val="0"/>
          <w:sz w:val="36"/>
          <w:szCs w:val="36"/>
          <w:highlight w:val="none"/>
        </w:rPr>
      </w:pPr>
      <w:r>
        <w:rPr>
          <w:b w:val="0"/>
          <w:sz w:val="36"/>
          <w:szCs w:val="36"/>
          <w:highlight w:val="none"/>
        </w:rPr>
      </w:r>
      <w:r/>
    </w:p>
    <w:p>
      <w:pPr>
        <w:jc w:val="center"/>
        <w:spacing w:line="360" w:lineRule="auto"/>
        <w:rPr>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highlight w:val="none"/>
        </w:rPr>
      </w:r>
      <w:r/>
    </w:p>
    <w:p>
      <w:pPr>
        <w:jc w:val="center"/>
        <w:spacing w:line="360" w:lineRule="auto"/>
        <w:rPr>
          <w:b/>
          <w:sz w:val="36"/>
          <w:szCs w:val="36"/>
          <w:highlight w:val="none"/>
        </w:rPr>
        <w:outlineLvl w:val="0"/>
      </w:pPr>
      <w:r/>
      <w:bookmarkStart w:id="1" w:name="_Toc104818925"/>
      <w:r>
        <w:rPr>
          <w:b/>
          <w:sz w:val="36"/>
          <w:szCs w:val="36"/>
          <w:highlight w:val="none"/>
        </w:rPr>
        <w:t xml:space="preserve">第一章   采购邀请</w:t>
      </w:r>
      <w:bookmarkEnd w:id="1"/>
      <w:r/>
      <w:bookmarkStart w:id="2" w:name="_Toc28359079"/>
      <w:r/>
      <w:bookmarkStart w:id="3" w:name="_Toc35393621"/>
      <w:r/>
      <w:bookmarkStart w:id="4" w:name="_Toc35393790"/>
      <w:r/>
      <w:bookmarkStart w:id="5" w:name="_Toc28359002"/>
      <w:r/>
      <w:bookmarkStart w:id="6" w:name="_Hlk24379207"/>
      <w:r/>
      <w:r/>
    </w:p>
    <w:p>
      <w:pPr>
        <w:ind w:firstLine="480"/>
        <w:spacing w:line="360" w:lineRule="auto"/>
        <w:rPr>
          <w:sz w:val="24"/>
          <w:highlight w:val="none"/>
        </w:rPr>
      </w:pPr>
      <w:r>
        <w:rPr>
          <w:sz w:val="24"/>
          <w:highlight w:val="none"/>
        </w:rPr>
      </w:r>
      <w:r/>
    </w:p>
    <w:p>
      <w:pPr>
        <w:pStyle w:val="961"/>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JSZC-320481-TZGL-C2025-0003</w:t>
      </w:r>
      <w:r/>
    </w:p>
    <w:p>
      <w:pPr>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古县街道食堂人员委托管理项目</w:t>
      </w:r>
      <w:r/>
    </w:p>
    <w:p>
      <w:pPr>
        <w:ind w:firstLine="480"/>
        <w:spacing w:line="360" w:lineRule="auto"/>
        <w:rPr>
          <w:sz w:val="24"/>
          <w:highlight w:val="none"/>
        </w:rPr>
      </w:pPr>
      <w:r>
        <w:rPr>
          <w:sz w:val="24"/>
          <w:highlight w:val="none"/>
        </w:rPr>
        <w:t xml:space="preserve">3.采购方式：竞争性磋商</w:t>
      </w:r>
      <w:bookmarkEnd w:id="6"/>
      <w:r/>
      <w:r/>
    </w:p>
    <w:p>
      <w:pPr>
        <w:ind w:firstLine="480"/>
        <w:spacing w:line="360" w:lineRule="auto"/>
        <w:rPr>
          <w:rFonts w:hint="eastAsia" w:eastAsia="宋体"/>
          <w:sz w:val="24"/>
          <w:highlight w:val="none"/>
          <w:lang w:val="en-US" w:eastAsia="zh-CN"/>
        </w:rPr>
      </w:pPr>
      <w:r>
        <w:rPr>
          <w:sz w:val="24"/>
          <w:highlight w:val="none"/>
        </w:rPr>
        <w:t xml:space="preserve">4.项目预算金额：</w:t>
      </w:r>
      <w:r>
        <w:rPr>
          <w:rFonts w:hint="eastAsia"/>
          <w:sz w:val="24"/>
          <w:highlight w:val="none"/>
          <w:u w:val="single"/>
          <w:lang w:val="en-US" w:eastAsia="zh-CN"/>
        </w:rPr>
        <w:t xml:space="preserve"> 237 </w:t>
      </w:r>
      <w:r>
        <w:rPr>
          <w:sz w:val="24"/>
          <w:highlight w:val="none"/>
        </w:rPr>
        <w:t xml:space="preserve">万元、项目最高限价：</w:t>
      </w:r>
      <w:r>
        <w:rPr>
          <w:rFonts w:hint="eastAsia"/>
          <w:sz w:val="24"/>
          <w:highlight w:val="none"/>
          <w:u w:val="single"/>
          <w:lang w:val="en-US" w:eastAsia="zh-CN"/>
        </w:rPr>
        <w:t xml:space="preserve"> 237 </w:t>
      </w:r>
      <w:r>
        <w:rPr>
          <w:sz w:val="24"/>
          <w:highlight w:val="none"/>
        </w:rPr>
        <w:t xml:space="preserve">万元</w:t>
      </w:r>
      <w:r>
        <w:rPr>
          <w:rFonts w:hint="eastAsia"/>
          <w:sz w:val="24"/>
          <w:highlight w:val="none"/>
          <w:lang w:eastAsia="zh-CN"/>
        </w:rPr>
        <w:t xml:space="preserve">。</w:t>
      </w:r>
      <w:r/>
    </w:p>
    <w:p>
      <w:pPr>
        <w:ind w:firstLine="480"/>
        <w:spacing w:line="360" w:lineRule="auto"/>
        <w:rPr>
          <w:sz w:val="24"/>
          <w:highlight w:val="none"/>
        </w:rPr>
      </w:pPr>
      <w:r>
        <w:rPr>
          <w:sz w:val="24"/>
          <w:highlight w:val="none"/>
        </w:rPr>
        <w:t xml:space="preserve">5.采购需求：</w:t>
      </w:r>
      <w:r>
        <w:rPr>
          <w:rFonts w:hint="eastAsia"/>
          <w:sz w:val="24"/>
          <w:highlight w:val="none"/>
        </w:rPr>
        <w:t xml:space="preserve">为满足日常工作及保障各项活动正常开展，需在食堂采购餐饮委托运营服务，负责食堂现场的全面管理工作，承担食堂的早餐、午餐及晚餐的供应服务及人员工资发放等。</w:t>
      </w:r>
      <w:r/>
    </w:p>
    <w:p>
      <w:pPr>
        <w:ind w:firstLine="480"/>
        <w:spacing w:line="360" w:lineRule="auto"/>
        <w:rPr>
          <w:sz w:val="24"/>
          <w:highlight w:val="none"/>
          <w:u w:val="single"/>
        </w:rPr>
      </w:pPr>
      <w:r>
        <w:rPr>
          <w:sz w:val="24"/>
          <w:highlight w:val="none"/>
        </w:rPr>
        <w:t xml:space="preserve">6.合同履行期限：</w:t>
      </w:r>
      <w:r>
        <w:rPr>
          <w:rFonts w:hint="eastAsia"/>
          <w:sz w:val="24"/>
          <w:highlight w:val="none"/>
          <w:lang w:val="en-US" w:eastAsia="zh-CN"/>
        </w:rPr>
        <w:t xml:space="preserve">一年</w:t>
      </w:r>
      <w:r>
        <w:rPr>
          <w:rFonts w:hint="eastAsia"/>
          <w:sz w:val="24"/>
          <w:highlight w:val="none"/>
          <w:lang w:eastAsia="zh-CN"/>
        </w:rPr>
        <w:t xml:space="preserve">。</w:t>
      </w:r>
      <w:r>
        <w:rPr>
          <w:sz w:val="24"/>
          <w:highlight w:val="none"/>
        </w:rPr>
        <w:t xml:space="preserve"> </w:t>
      </w:r>
      <w:r/>
    </w:p>
    <w:p>
      <w:pPr>
        <w:ind w:firstLine="480"/>
        <w:spacing w:line="360" w:lineRule="auto"/>
        <w:rPr>
          <w:sz w:val="24"/>
          <w:highlight w:val="none"/>
        </w:rPr>
      </w:pPr>
      <w:r>
        <w:rPr>
          <w:sz w:val="24"/>
          <w:highlight w:val="none"/>
        </w:rPr>
        <w:t xml:space="preserve">7.本项目是否接受联合体：</w:t>
      </w:r>
      <w:r>
        <w:rPr>
          <w:rFonts w:ascii="Wingdings 2" w:hAnsi="Wingdings 2" w:eastAsia="Wingdings 2" w:cs="Wingdings 2"/>
          <w:highlight w:val="none"/>
        </w:rPr>
        <w:t xml:space="preserve">£</w:t>
      </w:r>
      <w:r>
        <w:rPr>
          <w:sz w:val="24"/>
          <w:highlight w:val="none"/>
        </w:rPr>
        <w:t xml:space="preserve">是  </w:t>
      </w:r>
      <w:r>
        <w:rPr>
          <w:rFonts w:ascii="Times New Roman" w:hAnsi="Times New Roman" w:cs="Times New Roman"/>
          <w:color w:val="auto"/>
          <w:sz w:val="32"/>
          <w:szCs w:val="32"/>
          <w:highlight w:val="none"/>
        </w:rPr>
        <w:t xml:space="preserve">■</w:t>
      </w:r>
      <w:r>
        <w:rPr>
          <w:sz w:val="24"/>
          <w:highlight w:val="none"/>
        </w:rPr>
        <w:t xml:space="preserve">否。</w:t>
      </w:r>
      <w:r/>
    </w:p>
    <w:p>
      <w:pPr>
        <w:ind w:firstLine="480"/>
        <w:spacing w:line="360" w:lineRule="auto"/>
        <w:rPr>
          <w:sz w:val="24"/>
          <w:highlight w:val="none"/>
        </w:rPr>
      </w:pPr>
      <w:r/>
      <w:bookmarkStart w:id="7" w:name="_Toc35393622"/>
      <w:r/>
      <w:bookmarkStart w:id="8" w:name="_Toc28359080"/>
      <w:r/>
      <w:bookmarkStart w:id="9" w:name="_Toc35393791"/>
      <w:r/>
      <w:bookmarkStart w:id="10" w:name="_Toc28359003"/>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进口产品响应</w:t>
      </w:r>
      <w:r>
        <w:rPr>
          <w:sz w:val="24"/>
          <w:highlight w:val="none"/>
        </w:rPr>
        <w:t xml:space="preserve">：</w:t>
      </w:r>
      <w:r>
        <w:rPr>
          <w:rFonts w:ascii="Wingdings 2" w:hAnsi="Wingdings 2" w:eastAsia="Wingdings 2" w:cs="Wingdings 2"/>
          <w:sz w:val="24"/>
          <w:highlight w:val="none"/>
        </w:rPr>
        <w:t xml:space="preserve">£</w:t>
      </w:r>
      <w:r>
        <w:rPr>
          <w:sz w:val="24"/>
          <w:highlight w:val="none"/>
        </w:rPr>
        <w:t xml:space="preserve">是  </w:t>
      </w:r>
      <w:r>
        <w:rPr>
          <w:rFonts w:ascii="Times New Roman" w:hAnsi="Times New Roman" w:cs="Times New Roman"/>
          <w:color w:val="auto"/>
          <w:sz w:val="32"/>
          <w:szCs w:val="32"/>
          <w:highlight w:val="none"/>
        </w:rPr>
        <w:t xml:space="preserve">■</w:t>
      </w:r>
      <w:r>
        <w:rPr>
          <w:sz w:val="24"/>
          <w:highlight w:val="none"/>
        </w:rPr>
        <w:t xml:space="preserve">否。</w:t>
      </w:r>
      <w:r/>
    </w:p>
    <w:p>
      <w:pPr>
        <w:pStyle w:val="961"/>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sz w:val="24"/>
          <w:highlight w:val="none"/>
        </w:rPr>
      </w:pPr>
      <w:r/>
      <w:bookmarkStart w:id="11" w:name="_Toc28359081"/>
      <w:r/>
      <w:bookmarkStart w:id="12" w:name="_Toc28359004"/>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t>
      </w:r>
      <w:r>
        <w:rPr>
          <w:rFonts w:hint="eastAsia"/>
          <w:sz w:val="24"/>
          <w:highlight w:val="none"/>
          <w:lang w:val="en-US" w:eastAsia="zh-CN"/>
        </w:rPr>
        <w:t xml:space="preserve">www</w:t>
      </w:r>
      <w:r>
        <w:rPr>
          <w:rFonts w:hint="eastAsia"/>
          <w:sz w:val="24"/>
          <w:highlight w:val="none"/>
        </w:rPr>
        <w:t xml:space="preserve">.creditchina.gov.cn）或“中国政府采购网”网站（www.ccgp.gov.cn）列入失信被执行人、重大税收违法案件当事人名单、政府采购严重失信行为记录名单；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sz w:val="24"/>
          <w:highlight w:val="none"/>
        </w:rPr>
      </w:pPr>
      <w:r>
        <w:rPr>
          <w:sz w:val="24"/>
          <w:highlight w:val="none"/>
        </w:rPr>
        <w:t xml:space="preserve">本项目专门面向中小企业采购。即：提供的货物全部由符合政策要求的中小/小微企业制造、服务全部由符合政策要求的中小/小微企业承接。</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lang w:val="en-US" w:eastAsia="zh-CN"/>
        </w:rPr>
        <w:t xml:space="preserve">无</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w:t>
      </w:r>
      <w:r>
        <w:rPr>
          <w:rFonts w:ascii="Wingdings 2" w:hAnsi="Wingdings 2" w:eastAsia="Wingdings 2" w:cs="Wingdings 2"/>
          <w:highlight w:val="none"/>
        </w:rPr>
        <w:t xml:space="preserve">£</w:t>
      </w:r>
      <w:r>
        <w:rPr>
          <w:sz w:val="24"/>
          <w:highlight w:val="none"/>
        </w:rPr>
        <w:t xml:space="preserve">是   </w:t>
      </w:r>
      <w:r>
        <w:rPr>
          <w:rFonts w:ascii="Times New Roman" w:hAnsi="Times New Roman" w:cs="Times New Roman"/>
          <w:color w:val="auto"/>
          <w:sz w:val="32"/>
          <w:szCs w:val="32"/>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eastAsia="宋体"/>
          <w:sz w:val="24"/>
          <w:highlight w:val="none"/>
          <w:lang w:eastAsia="zh-CN"/>
        </w:rPr>
      </w:pPr>
      <w:r>
        <w:rPr>
          <w:sz w:val="24"/>
          <w:highlight w:val="none"/>
        </w:rPr>
        <w:t xml:space="preserve">3.2 本项目是否属于政府购买服务：</w:t>
      </w:r>
      <w:r>
        <w:rPr>
          <w:rFonts w:ascii="Times New Roman" w:hAnsi="Times New Roman" w:cs="Times New Roman"/>
          <w:color w:val="auto"/>
          <w:sz w:val="32"/>
          <w:szCs w:val="32"/>
          <w:highlight w:val="none"/>
        </w:rPr>
        <w:t xml:space="preserve">■</w:t>
      </w:r>
      <w:r>
        <w:rPr>
          <w:sz w:val="24"/>
          <w:highlight w:val="none"/>
        </w:rPr>
        <w:t xml:space="preserve">是   </w:t>
      </w:r>
      <w:r>
        <w:rPr>
          <w:rFonts w:ascii="Wingdings 2" w:hAnsi="Wingdings 2" w:eastAsia="Wingdings 2" w:cs="Wingdings 2"/>
          <w:highlight w:val="none"/>
        </w:rPr>
        <w:t xml:space="preserve">£</w:t>
      </w:r>
      <w:r>
        <w:rPr>
          <w:sz w:val="24"/>
          <w:highlight w:val="none"/>
        </w:rPr>
        <w:t xml:space="preserve">否</w:t>
      </w:r>
      <w:r>
        <w:rPr>
          <w:rFonts w:hint="eastAsia"/>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sz w:val="24"/>
          <w:highlight w:val="none"/>
          <w:u w:val="single"/>
        </w:rPr>
      </w:pPr>
      <w:r>
        <w:rPr>
          <w:sz w:val="24"/>
          <w:highlight w:val="none"/>
        </w:rPr>
        <w:t xml:space="preserve">3.3其他特定资格要求：</w:t>
      </w:r>
      <w:r>
        <w:rPr>
          <w:rFonts w:hint="eastAsia"/>
          <w:sz w:val="24"/>
          <w:highlight w:val="none"/>
          <w:lang w:val="en-US" w:eastAsia="zh-CN"/>
        </w:rPr>
        <w:t xml:space="preserve">无。</w:t>
      </w:r>
      <w:bookmarkEnd w:id="11"/>
      <w:r/>
      <w:bookmarkEnd w:id="12"/>
      <w:r/>
      <w:r/>
    </w:p>
    <w:p>
      <w:pPr>
        <w:pStyle w:val="961"/>
        <w:jc w:val="left"/>
        <w:spacing w:before="0" w:line="360" w:lineRule="auto"/>
        <w:widowControl/>
        <w:rPr>
          <w:rFonts w:ascii="Times New Roman" w:hAnsi="Times New Roman" w:eastAsia="宋体"/>
          <w:sz w:val="24"/>
          <w:szCs w:val="24"/>
          <w:highlight w:val="none"/>
        </w:rPr>
      </w:pPr>
      <w:r/>
      <w:bookmarkStart w:id="13" w:name="_Toc35393623"/>
      <w:r/>
      <w:bookmarkStart w:id="14" w:name="_Toc35393792"/>
      <w:r>
        <w:rPr>
          <w:rFonts w:ascii="Times New Roman" w:hAnsi="Times New Roman" w:eastAsia="宋体"/>
          <w:sz w:val="24"/>
          <w:szCs w:val="24"/>
          <w:highlight w:val="none"/>
        </w:rPr>
        <w:t xml:space="preserve">三、获取采购文件</w:t>
      </w:r>
      <w:bookmarkEnd w:id="13"/>
      <w:r/>
      <w:bookmarkEnd w:id="14"/>
      <w:r/>
      <w:r/>
    </w:p>
    <w:p>
      <w:pPr>
        <w:ind w:firstLine="480"/>
        <w:jc w:val="left"/>
        <w:spacing w:line="360" w:lineRule="auto"/>
        <w:widowControl/>
        <w:rPr>
          <w:rFonts w:hint="eastAsia"/>
          <w:sz w:val="24"/>
          <w:highlight w:val="none"/>
          <w:lang w:bidi="ar"/>
        </w:rPr>
      </w:pPr>
      <w:r>
        <w:rPr>
          <w:rFonts w:hint="eastAsia"/>
          <w:sz w:val="24"/>
          <w:highlight w:val="none"/>
          <w:lang w:bidi="ar"/>
        </w:rPr>
        <w:t xml:space="preserve">1.时间：自本公告发布之日起至202</w:t>
      </w:r>
      <w:r>
        <w:rPr>
          <w:rFonts w:hint="eastAsia"/>
          <w:sz w:val="24"/>
          <w:highlight w:val="none"/>
          <w:lang w:val="en-US" w:eastAsia="zh-CN" w:bidi="ar"/>
        </w:rPr>
        <w:t xml:space="preserve">6</w:t>
      </w:r>
      <w:r>
        <w:rPr>
          <w:rFonts w:hint="eastAsia"/>
          <w:sz w:val="24"/>
          <w:highlight w:val="none"/>
          <w:lang w:bidi="ar"/>
        </w:rPr>
        <w:t xml:space="preserve">年0</w:t>
      </w:r>
      <w:r>
        <w:rPr>
          <w:rFonts w:hint="eastAsia"/>
          <w:sz w:val="24"/>
          <w:highlight w:val="none"/>
          <w:lang w:val="en-US" w:eastAsia="zh-CN" w:bidi="ar"/>
        </w:rPr>
        <w:t xml:space="preserve">1</w:t>
      </w:r>
      <w:r>
        <w:rPr>
          <w:rFonts w:hint="eastAsia"/>
          <w:sz w:val="24"/>
          <w:highlight w:val="none"/>
          <w:lang w:bidi="ar"/>
        </w:rPr>
        <w:t xml:space="preserve">月22</w:t>
      </w:r>
      <w:r>
        <w:rPr>
          <w:rFonts w:hint="eastAsia"/>
          <w:sz w:val="24"/>
          <w:highlight w:val="none"/>
          <w:lang w:bidi="ar"/>
        </w:rPr>
        <w:t xml:space="preserve">日（北京时间，法定节假日除外）。</w:t>
      </w:r>
      <w:r/>
    </w:p>
    <w:p>
      <w:pPr>
        <w:ind w:firstLine="480"/>
        <w:jc w:val="left"/>
        <w:spacing w:line="360" w:lineRule="auto"/>
        <w:widowControl/>
        <w:rPr>
          <w:rFonts w:hint="eastAsia"/>
          <w:sz w:val="24"/>
          <w:highlight w:val="none"/>
          <w:lang w:bidi="ar"/>
        </w:rPr>
      </w:pPr>
      <w:r>
        <w:rPr>
          <w:rFonts w:hint="eastAsia"/>
          <w:sz w:val="24"/>
          <w:highlight w:val="none"/>
          <w:lang w:bidi="ar"/>
        </w:rPr>
        <w:t xml:space="preserve">2.地点：“苏采云”政府采购一体化平台</w:t>
      </w:r>
      <w:r/>
    </w:p>
    <w:p>
      <w:pPr>
        <w:ind w:firstLine="480"/>
        <w:jc w:val="left"/>
        <w:spacing w:line="360" w:lineRule="auto"/>
        <w:widowControl/>
        <w:rPr>
          <w:rFonts w:hint="eastAsia"/>
          <w:sz w:val="24"/>
          <w:highlight w:val="none"/>
          <w:lang w:bidi="ar"/>
        </w:rPr>
      </w:pPr>
      <w:r>
        <w:rPr>
          <w:rFonts w:hint="eastAsia"/>
          <w:sz w:val="24"/>
          <w:highlight w:val="none"/>
          <w:lang w:bidi="ar"/>
        </w:rPr>
        <w:t xml:space="preserve">3.方式：供应商持CA数字认证证书登录“苏采云”政府采购一体化平台（http</w:t>
      </w:r>
      <w:r>
        <w:rPr>
          <w:rFonts w:hint="eastAsia"/>
          <w:sz w:val="24"/>
          <w:highlight w:val="none"/>
          <w:lang w:eastAsia="zh-CN" w:bidi="ar"/>
        </w:rPr>
        <w:t xml:space="preserve">：</w:t>
      </w:r>
      <w:r>
        <w:rPr>
          <w:rFonts w:hint="eastAsia"/>
          <w:sz w:val="24"/>
          <w:highlight w:val="none"/>
          <w:lang w:bidi="ar"/>
        </w:rPr>
        <w:t xml:space="preserve">//jszfcg.jsczt.cn/jszc/login）获取电子版采购文件。</w:t>
      </w:r>
      <w:r/>
    </w:p>
    <w:p>
      <w:pPr>
        <w:ind w:firstLine="480"/>
        <w:jc w:val="left"/>
        <w:spacing w:line="360" w:lineRule="auto"/>
        <w:widowControl/>
        <w:rPr>
          <w:sz w:val="24"/>
          <w:highlight w:val="none"/>
        </w:rPr>
      </w:pPr>
      <w:r>
        <w:rPr>
          <w:rFonts w:hint="eastAsia"/>
          <w:sz w:val="24"/>
          <w:highlight w:val="none"/>
          <w:lang w:bidi="ar"/>
        </w:rPr>
        <w:t xml:space="preserve">4.售价：0元。</w:t>
      </w:r>
      <w:r/>
    </w:p>
    <w:p>
      <w:pPr>
        <w:pStyle w:val="961"/>
        <w:jc w:val="left"/>
        <w:spacing w:before="0" w:line="360" w:lineRule="auto"/>
        <w:widowControl/>
        <w:rPr>
          <w:rFonts w:ascii="Times New Roman" w:hAnsi="Times New Roman" w:eastAsia="宋体"/>
          <w:sz w:val="24"/>
          <w:szCs w:val="24"/>
          <w:highlight w:val="none"/>
        </w:rPr>
      </w:pPr>
      <w:r/>
      <w:bookmarkStart w:id="15" w:name="_Toc35393793"/>
      <w:r/>
      <w:bookmarkStart w:id="16" w:name="_Toc35393624"/>
      <w:r/>
      <w:bookmarkStart w:id="17" w:name="_Toc28359082"/>
      <w:r/>
      <w:bookmarkStart w:id="18" w:name="_Toc28359005"/>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p>
    <w:p>
      <w:pPr>
        <w:ind w:firstLine="480"/>
        <w:spacing w:line="360" w:lineRule="auto"/>
        <w:rPr>
          <w:rFonts w:hint="eastAsia"/>
          <w:sz w:val="24"/>
          <w:highlight w:val="none"/>
          <w:lang w:bidi="ar"/>
        </w:rPr>
      </w:pPr>
      <w:r>
        <w:rPr>
          <w:rFonts w:hint="eastAsia"/>
          <w:sz w:val="24"/>
          <w:highlight w:val="none"/>
          <w:lang w:bidi="ar"/>
        </w:rPr>
        <w:t xml:space="preserve">截止时间：202</w:t>
      </w:r>
      <w:r>
        <w:rPr>
          <w:rFonts w:hint="eastAsia"/>
          <w:sz w:val="24"/>
          <w:highlight w:val="none"/>
          <w:lang w:val="en-US" w:eastAsia="zh-CN" w:bidi="ar"/>
        </w:rPr>
        <w:t xml:space="preserve">6</w:t>
      </w:r>
      <w:r>
        <w:rPr>
          <w:rFonts w:hint="eastAsia"/>
          <w:sz w:val="24"/>
          <w:highlight w:val="none"/>
          <w:lang w:bidi="ar"/>
        </w:rPr>
        <w:t xml:space="preserve">年0</w:t>
      </w:r>
      <w:r>
        <w:rPr>
          <w:rFonts w:hint="eastAsia"/>
          <w:sz w:val="24"/>
          <w:highlight w:val="none"/>
          <w:lang w:val="en-US" w:eastAsia="zh-CN" w:bidi="ar"/>
        </w:rPr>
        <w:t xml:space="preserve">1</w:t>
      </w:r>
      <w:r>
        <w:rPr>
          <w:rFonts w:hint="eastAsia"/>
          <w:sz w:val="24"/>
          <w:highlight w:val="none"/>
          <w:lang w:bidi="ar"/>
        </w:rPr>
        <w:t xml:space="preserve">月</w:t>
      </w:r>
      <w:r>
        <w:rPr>
          <w:rFonts w:hint="eastAsia"/>
          <w:sz w:val="24"/>
          <w:highlight w:val="none"/>
          <w:lang w:val="en-US" w:eastAsia="zh-CN" w:bidi="ar"/>
        </w:rPr>
        <w:t xml:space="preserve">26</w:t>
      </w:r>
      <w:r>
        <w:rPr>
          <w:rFonts w:hint="eastAsia"/>
          <w:sz w:val="24"/>
          <w:highlight w:val="none"/>
          <w:lang w:bidi="ar"/>
        </w:rPr>
        <w:t xml:space="preserve">日</w:t>
      </w:r>
      <w:r>
        <w:rPr>
          <w:rFonts w:hint="eastAsia"/>
          <w:sz w:val="24"/>
          <w:highlight w:val="none"/>
          <w:lang w:val="en-US" w:eastAsia="zh-CN" w:bidi="ar"/>
        </w:rPr>
        <w:t xml:space="preserve">14</w:t>
      </w:r>
      <w:r>
        <w:rPr>
          <w:rFonts w:hint="eastAsia"/>
          <w:sz w:val="24"/>
          <w:highlight w:val="none"/>
          <w:lang w:bidi="ar"/>
        </w:rPr>
        <w:t xml:space="preserve">点00分（北京时间）。</w:t>
      </w:r>
      <w:r/>
    </w:p>
    <w:p>
      <w:pPr>
        <w:ind w:firstLine="480"/>
        <w:spacing w:line="360" w:lineRule="auto"/>
        <w:rPr>
          <w:sz w:val="24"/>
          <w:highlight w:val="none"/>
          <w:lang w:val="zh-TW" w:bidi="ar"/>
        </w:rPr>
      </w:pPr>
      <w:r>
        <w:rPr>
          <w:rFonts w:hint="eastAsia"/>
          <w:sz w:val="24"/>
          <w:highlight w:val="none"/>
          <w:lang w:bidi="ar"/>
        </w:rPr>
        <w:t xml:space="preserve">地点：本项目采用不见面交易方式，无需到现场提交，供应商登录“苏采云”供应商端，通过系统在线提交电子响应文件。</w:t>
      </w:r>
      <w:r/>
    </w:p>
    <w:p>
      <w:pPr>
        <w:pStyle w:val="961"/>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p>
    <w:p>
      <w:pPr>
        <w:ind w:firstLine="480"/>
        <w:spacing w:line="360" w:lineRule="auto"/>
        <w:rPr>
          <w:rFonts w:hint="eastAsia"/>
          <w:sz w:val="24"/>
          <w:highlight w:val="none"/>
          <w:lang w:bidi="ar"/>
        </w:rPr>
      </w:pPr>
      <w:r>
        <w:rPr>
          <w:rFonts w:hint="eastAsia"/>
          <w:sz w:val="24"/>
          <w:highlight w:val="none"/>
          <w:lang w:bidi="ar"/>
        </w:rPr>
        <w:t xml:space="preserve">时间：202</w:t>
      </w:r>
      <w:r>
        <w:rPr>
          <w:rFonts w:hint="eastAsia"/>
          <w:sz w:val="24"/>
          <w:highlight w:val="none"/>
          <w:lang w:val="en-US" w:eastAsia="zh-CN" w:bidi="ar"/>
        </w:rPr>
        <w:t xml:space="preserve">6</w:t>
      </w:r>
      <w:r>
        <w:rPr>
          <w:rFonts w:hint="eastAsia"/>
          <w:sz w:val="24"/>
          <w:highlight w:val="none"/>
          <w:lang w:bidi="ar"/>
        </w:rPr>
        <w:t xml:space="preserve">年0</w:t>
      </w:r>
      <w:r>
        <w:rPr>
          <w:rFonts w:hint="eastAsia"/>
          <w:sz w:val="24"/>
          <w:highlight w:val="none"/>
          <w:lang w:val="en-US" w:eastAsia="zh-CN" w:bidi="ar"/>
        </w:rPr>
        <w:t xml:space="preserve">1</w:t>
      </w:r>
      <w:r>
        <w:rPr>
          <w:rFonts w:hint="eastAsia"/>
          <w:sz w:val="24"/>
          <w:highlight w:val="none"/>
          <w:lang w:bidi="ar"/>
        </w:rPr>
        <w:t xml:space="preserve">月</w:t>
      </w:r>
      <w:r>
        <w:rPr>
          <w:rFonts w:hint="eastAsia"/>
          <w:sz w:val="24"/>
          <w:highlight w:val="none"/>
          <w:lang w:val="en-US" w:eastAsia="zh-CN" w:bidi="ar"/>
        </w:rPr>
        <w:t xml:space="preserve">26</w:t>
      </w:r>
      <w:r>
        <w:rPr>
          <w:rFonts w:hint="eastAsia"/>
          <w:sz w:val="24"/>
          <w:highlight w:val="none"/>
          <w:lang w:bidi="ar"/>
        </w:rPr>
        <w:t xml:space="preserve">日1</w:t>
      </w:r>
      <w:r>
        <w:rPr>
          <w:rFonts w:hint="eastAsia"/>
          <w:sz w:val="24"/>
          <w:highlight w:val="none"/>
          <w:lang w:val="en-US" w:eastAsia="zh-CN" w:bidi="ar"/>
        </w:rPr>
        <w:t xml:space="preserve">4</w:t>
      </w:r>
      <w:r>
        <w:rPr>
          <w:rFonts w:hint="eastAsia"/>
          <w:sz w:val="24"/>
          <w:highlight w:val="none"/>
          <w:lang w:bidi="ar"/>
        </w:rPr>
        <w:t xml:space="preserve">点00分（北京时间）。</w:t>
      </w:r>
      <w:r/>
    </w:p>
    <w:p>
      <w:pPr>
        <w:ind w:firstLine="480"/>
        <w:spacing w:line="360" w:lineRule="auto"/>
        <w:rPr>
          <w:bCs/>
          <w:sz w:val="24"/>
          <w:highlight w:val="none"/>
          <w:u w:val="single"/>
        </w:rPr>
      </w:pPr>
      <w:r>
        <w:rPr>
          <w:rFonts w:hint="eastAsia"/>
          <w:sz w:val="24"/>
          <w:highlight w:val="none"/>
          <w:lang w:bidi="ar"/>
        </w:rPr>
        <w:t xml:space="preserve">地点：本项目采用不见面交易方式，供应商登录“苏采云”供应商端，通过系统在线解密电子响应文件。</w:t>
      </w:r>
      <w:r/>
    </w:p>
    <w:p>
      <w:pPr>
        <w:pStyle w:val="961"/>
        <w:jc w:val="left"/>
        <w:spacing w:before="0" w:line="360" w:lineRule="auto"/>
        <w:rPr>
          <w:rFonts w:ascii="Times New Roman" w:hAnsi="Times New Roman" w:eastAsia="宋体"/>
          <w:sz w:val="24"/>
          <w:szCs w:val="24"/>
          <w:highlight w:val="none"/>
        </w:rPr>
      </w:pPr>
      <w:r/>
      <w:bookmarkStart w:id="19" w:name="_Toc28359084"/>
      <w:r/>
      <w:bookmarkStart w:id="20" w:name="_Toc35393625"/>
      <w:r/>
      <w:bookmarkStart w:id="21" w:name="_Toc35393794"/>
      <w:r/>
      <w:bookmarkStart w:id="22" w:name="_Toc28359007"/>
      <w:r>
        <w:rPr>
          <w:rFonts w:ascii="Times New Roman" w:hAnsi="Times New Roman" w:eastAsia="宋体"/>
          <w:sz w:val="24"/>
          <w:szCs w:val="24"/>
          <w:highlight w:val="none"/>
        </w:rPr>
        <w:t xml:space="preserve">六、公告期限</w:t>
      </w:r>
      <w:bookmarkEnd w:id="19"/>
      <w:r/>
      <w:bookmarkEnd w:id="20"/>
      <w:r/>
      <w:bookmarkEnd w:id="21"/>
      <w:r/>
      <w:bookmarkEnd w:id="22"/>
      <w:r/>
      <w:r/>
    </w:p>
    <w:p>
      <w:pPr>
        <w:ind w:firstLine="480"/>
        <w:spacing w:line="360" w:lineRule="auto"/>
        <w:rPr>
          <w:sz w:val="24"/>
          <w:highlight w:val="none"/>
        </w:rPr>
      </w:pPr>
      <w:r>
        <w:rPr>
          <w:sz w:val="24"/>
          <w:highlight w:val="none"/>
        </w:rPr>
        <w:t xml:space="preserve">自本公告发布之日起</w:t>
      </w:r>
      <w:r>
        <w:rPr>
          <w:rFonts w:hint="eastAsia"/>
          <w:sz w:val="24"/>
          <w:highlight w:val="none"/>
          <w:lang w:val="en-US" w:eastAsia="zh-CN"/>
        </w:rPr>
        <w:t xml:space="preserve">3</w:t>
      </w:r>
      <w:r>
        <w:rPr>
          <w:sz w:val="24"/>
          <w:highlight w:val="none"/>
        </w:rPr>
        <w:t xml:space="preserve">个工作日。</w:t>
      </w:r>
      <w:r/>
    </w:p>
    <w:p>
      <w:pPr>
        <w:pStyle w:val="961"/>
        <w:jc w:val="left"/>
        <w:spacing w:before="0" w:line="360" w:lineRule="auto"/>
        <w:rPr>
          <w:rFonts w:ascii="Times New Roman" w:hAnsi="Times New Roman" w:eastAsia="宋体"/>
          <w:sz w:val="24"/>
          <w:szCs w:val="24"/>
          <w:highlight w:val="none"/>
        </w:rPr>
      </w:pPr>
      <w:r/>
      <w:bookmarkStart w:id="23" w:name="_Toc35393626"/>
      <w:r/>
      <w:bookmarkStart w:id="24" w:name="_Toc35393795"/>
      <w:r>
        <w:rPr>
          <w:rFonts w:ascii="Times New Roman" w:hAnsi="Times New Roman" w:eastAsia="宋体"/>
          <w:sz w:val="24"/>
          <w:szCs w:val="24"/>
          <w:highlight w:val="none"/>
        </w:rPr>
        <w:t xml:space="preserve">七、其他补充事宜</w:t>
      </w:r>
      <w:bookmarkEnd w:id="23"/>
      <w:r/>
      <w:bookmarkEnd w:id="24"/>
      <w:r/>
      <w:r/>
    </w:p>
    <w:p>
      <w:pPr>
        <w:ind w:firstLine="480"/>
        <w:spacing w:line="360" w:lineRule="auto"/>
        <w:rPr>
          <w:rFonts w:hint="eastAsia"/>
          <w:sz w:val="24"/>
          <w:highlight w:val="none"/>
        </w:rPr>
      </w:pPr>
      <w:r>
        <w:rPr>
          <w:rFonts w:hint="eastAsia"/>
          <w:sz w:val="24"/>
          <w:highlight w:val="none"/>
        </w:rPr>
        <w:t xml:space="preserve">1.本项目需要落实的政府采购政策：扶持中小企业、监狱企业、残疾人福利企业。</w:t>
      </w:r>
      <w:r/>
    </w:p>
    <w:p>
      <w:pPr>
        <w:ind w:firstLine="480"/>
        <w:spacing w:line="360" w:lineRule="auto"/>
        <w:rPr>
          <w:rFonts w:hint="eastAsia"/>
          <w:sz w:val="24"/>
          <w:highlight w:val="none"/>
        </w:rPr>
      </w:pPr>
      <w:r>
        <w:rPr>
          <w:rFonts w:hint="eastAsia"/>
          <w:sz w:val="24"/>
          <w:highlight w:val="none"/>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p>
    <w:p>
      <w:pPr>
        <w:ind w:firstLine="480"/>
        <w:spacing w:line="360" w:lineRule="auto"/>
        <w:rPr>
          <w:rFonts w:hint="eastAsia"/>
          <w:sz w:val="24"/>
          <w:highlight w:val="none"/>
        </w:rPr>
      </w:pPr>
      <w:r>
        <w:rPr>
          <w:rFonts w:hint="eastAsia"/>
          <w:sz w:val="24"/>
          <w:highlight w:val="none"/>
        </w:rPr>
        <w:t xml:space="preserve">技术支持服务热线   0519-85588210</w:t>
      </w:r>
      <w:r/>
    </w:p>
    <w:p>
      <w:pPr>
        <w:ind w:firstLine="480"/>
        <w:spacing w:line="360" w:lineRule="auto"/>
        <w:rPr>
          <w:rFonts w:hint="eastAsia"/>
          <w:sz w:val="24"/>
          <w:highlight w:val="none"/>
        </w:rPr>
      </w:pPr>
      <w:r>
        <w:rPr>
          <w:rFonts w:hint="eastAsia"/>
          <w:sz w:val="24"/>
          <w:highlight w:val="none"/>
        </w:rPr>
        <w:t xml:space="preserve">CA认证证书办理（可邮寄）联系电话   0519-85588120</w:t>
      </w:r>
      <w:r/>
    </w:p>
    <w:p>
      <w:pPr>
        <w:ind w:firstLine="480"/>
        <w:spacing w:line="360" w:lineRule="auto"/>
        <w:rPr>
          <w:rFonts w:hint="eastAsia"/>
          <w:sz w:val="24"/>
          <w:highlight w:val="none"/>
        </w:rPr>
      </w:pPr>
      <w:r>
        <w:rPr>
          <w:rFonts w:hint="eastAsia"/>
          <w:sz w:val="24"/>
          <w:highlight w:val="none"/>
        </w:rPr>
        <w:t xml:space="preserve">2.1办理CA认证证书</w:t>
      </w:r>
      <w:r/>
    </w:p>
    <w:p>
      <w:pPr>
        <w:ind w:firstLine="480"/>
        <w:spacing w:line="360" w:lineRule="auto"/>
        <w:rPr>
          <w:rFonts w:hint="eastAsia"/>
          <w:sz w:val="24"/>
          <w:highlight w:val="none"/>
        </w:rPr>
      </w:pPr>
      <w:r>
        <w:rPr>
          <w:rFonts w:hint="eastAsia"/>
          <w:sz w:val="24"/>
          <w:highlight w:val="none"/>
        </w:rPr>
        <w:t xml:space="preserve">供应商登录常州市政府采购网“下载中心”下载并查阅 “江苏省政府采购数字证书CA及电子签章办理指南”，按照程序要求办理。</w:t>
      </w:r>
      <w:r/>
    </w:p>
    <w:p>
      <w:pPr>
        <w:ind w:firstLine="480"/>
        <w:spacing w:line="360" w:lineRule="auto"/>
        <w:rPr>
          <w:rFonts w:hint="eastAsia"/>
          <w:sz w:val="24"/>
          <w:highlight w:val="none"/>
        </w:rPr>
      </w:pPr>
      <w:r>
        <w:rPr>
          <w:rFonts w:hint="eastAsia"/>
          <w:sz w:val="24"/>
          <w:highlight w:val="none"/>
        </w:rPr>
        <w:t xml:space="preserve">2.2注册</w:t>
      </w:r>
      <w:r/>
    </w:p>
    <w:p>
      <w:pPr>
        <w:ind w:firstLine="480"/>
        <w:spacing w:line="360" w:lineRule="auto"/>
        <w:rPr>
          <w:rFonts w:hint="eastAsia"/>
          <w:sz w:val="24"/>
          <w:highlight w:val="none"/>
        </w:rPr>
      </w:pPr>
      <w:r>
        <w:rPr>
          <w:rFonts w:hint="eastAsia"/>
          <w:sz w:val="24"/>
          <w:highlight w:val="none"/>
        </w:rPr>
        <w:t xml:space="preserve">供应商登录常州市政府采购网“下载中心”-““苏采云”系统供应商操作手册”下载相关操作手册、操作视频等，查阅后进行自助注册。</w:t>
      </w:r>
      <w:r/>
    </w:p>
    <w:p>
      <w:pPr>
        <w:ind w:firstLine="480"/>
        <w:spacing w:line="360" w:lineRule="auto"/>
        <w:rPr>
          <w:rFonts w:hint="eastAsia"/>
          <w:sz w:val="24"/>
          <w:highlight w:val="none"/>
        </w:rPr>
      </w:pPr>
      <w:r>
        <w:rPr>
          <w:rFonts w:hint="eastAsia"/>
          <w:sz w:val="24"/>
          <w:highlight w:val="none"/>
        </w:rPr>
        <w:t xml:space="preserve">2.3控件、客户端下载</w:t>
      </w:r>
      <w:r/>
    </w:p>
    <w:p>
      <w:pPr>
        <w:ind w:firstLine="480"/>
        <w:spacing w:line="360" w:lineRule="auto"/>
        <w:rPr>
          <w:rFonts w:hint="eastAsia"/>
          <w:sz w:val="24"/>
          <w:highlight w:val="none"/>
        </w:rPr>
      </w:pPr>
      <w:r>
        <w:rPr>
          <w:rFonts w:hint="eastAsia"/>
          <w:sz w:val="24"/>
          <w:highlight w:val="none"/>
        </w:rPr>
        <w:t xml:space="preserve">供应商登录常州市政府采购网“下载中心”-“政府采购管理交易系统（苏采云）CA及签章控件驱动”下载相关控件和客户端。</w:t>
      </w:r>
      <w:r/>
    </w:p>
    <w:p>
      <w:pPr>
        <w:ind w:firstLine="480"/>
        <w:spacing w:line="360" w:lineRule="auto"/>
        <w:rPr>
          <w:rFonts w:hint="eastAsia"/>
          <w:sz w:val="24"/>
          <w:highlight w:val="none"/>
        </w:rPr>
      </w:pPr>
      <w:r>
        <w:rPr>
          <w:rFonts w:hint="eastAsia"/>
          <w:sz w:val="24"/>
          <w:highlight w:val="none"/>
        </w:rPr>
        <w:t xml:space="preserve">2.4获取电子磋商文件</w:t>
      </w:r>
      <w:r/>
    </w:p>
    <w:p>
      <w:pPr>
        <w:ind w:firstLine="480"/>
        <w:spacing w:line="360" w:lineRule="auto"/>
        <w:rPr>
          <w:rFonts w:hint="eastAsia"/>
          <w:sz w:val="24"/>
          <w:highlight w:val="none"/>
        </w:rPr>
      </w:pPr>
      <w:r>
        <w:rPr>
          <w:rFonts w:hint="eastAsia"/>
          <w:sz w:val="24"/>
          <w:highlight w:val="none"/>
        </w:rPr>
        <w:t xml:space="preserve">供应商持CA数字认证证书登录“苏采云”获取电子磋商文件。未在规定期限内通过“苏采云”获取磋商文件的响应无效。</w:t>
      </w:r>
      <w:r/>
    </w:p>
    <w:p>
      <w:pPr>
        <w:ind w:firstLine="480"/>
        <w:spacing w:line="360" w:lineRule="auto"/>
        <w:rPr>
          <w:rFonts w:hint="eastAsia"/>
          <w:sz w:val="24"/>
          <w:highlight w:val="none"/>
        </w:rPr>
      </w:pPr>
      <w:r>
        <w:rPr>
          <w:rFonts w:hint="eastAsia"/>
          <w:sz w:val="24"/>
          <w:highlight w:val="none"/>
        </w:rPr>
        <w:t xml:space="preserve">2.5编制电子响应文件</w:t>
      </w:r>
      <w:r/>
    </w:p>
    <w:p>
      <w:pPr>
        <w:ind w:firstLine="480"/>
        <w:spacing w:line="360" w:lineRule="auto"/>
        <w:rPr>
          <w:rFonts w:hint="eastAsia"/>
          <w:sz w:val="24"/>
          <w:highlight w:val="none"/>
        </w:rPr>
      </w:pPr>
      <w:r>
        <w:rPr>
          <w:rFonts w:hint="eastAsia"/>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sz w:val="24"/>
          <w:highlight w:val="none"/>
        </w:rPr>
      </w:pPr>
      <w:r>
        <w:rPr>
          <w:rFonts w:hint="eastAsia"/>
          <w:sz w:val="24"/>
          <w:highlight w:val="none"/>
        </w:rPr>
        <w:t xml:space="preserve">2.6提交电子响应文件</w:t>
      </w:r>
      <w:r/>
    </w:p>
    <w:p>
      <w:pPr>
        <w:ind w:firstLine="480"/>
        <w:spacing w:line="360" w:lineRule="auto"/>
        <w:rPr>
          <w:rFonts w:hint="eastAsia"/>
          <w:sz w:val="24"/>
          <w:highlight w:val="none"/>
        </w:rPr>
      </w:pPr>
      <w:r>
        <w:rPr>
          <w:rFonts w:hint="eastAsia"/>
          <w:sz w:val="24"/>
          <w:highlight w:val="none"/>
        </w:rPr>
        <w:t xml:space="preserve">供应商应于响应截止时间前在“苏采云”提交电子响应文件，上传电子响应文件过程中请保持与互联网的连接畅通。</w:t>
      </w:r>
      <w:r/>
    </w:p>
    <w:p>
      <w:pPr>
        <w:ind w:firstLine="480"/>
        <w:spacing w:line="360" w:lineRule="auto"/>
        <w:rPr>
          <w:rFonts w:hint="eastAsia"/>
          <w:sz w:val="24"/>
          <w:highlight w:val="none"/>
        </w:rPr>
      </w:pPr>
      <w:r>
        <w:rPr>
          <w:rFonts w:hint="eastAsia"/>
          <w:sz w:val="24"/>
          <w:highlight w:val="none"/>
        </w:rPr>
        <w:t xml:space="preserve">2.7电子开标</w:t>
      </w:r>
      <w:r/>
    </w:p>
    <w:p>
      <w:pPr>
        <w:ind w:firstLine="480"/>
        <w:spacing w:line="360" w:lineRule="auto"/>
        <w:rPr>
          <w:rFonts w:hint="eastAsia"/>
          <w:sz w:val="24"/>
          <w:highlight w:val="none"/>
        </w:rPr>
      </w:pPr>
      <w:r>
        <w:rPr>
          <w:rFonts w:hint="eastAsia"/>
          <w:sz w:val="24"/>
          <w:highlight w:val="none"/>
        </w:rPr>
        <w:t xml:space="preserve">供应商使用CA认证证书登录“苏采云”进行电子化不见面开标。</w:t>
      </w:r>
      <w:r/>
    </w:p>
    <w:p>
      <w:pPr>
        <w:ind w:firstLine="480"/>
        <w:spacing w:line="360" w:lineRule="auto"/>
        <w:rPr>
          <w:rFonts w:hint="eastAsia"/>
          <w:sz w:val="24"/>
          <w:highlight w:val="none"/>
        </w:rPr>
      </w:pPr>
      <w:r>
        <w:rPr>
          <w:rFonts w:hint="eastAsia"/>
          <w:sz w:val="24"/>
          <w:highlight w:val="none"/>
        </w:rPr>
        <w:t xml:space="preserve">2.8注意事项</w:t>
      </w:r>
      <w:r/>
    </w:p>
    <w:p>
      <w:pPr>
        <w:ind w:firstLine="480"/>
        <w:spacing w:line="360" w:lineRule="auto"/>
        <w:rPr>
          <w:rFonts w:hint="eastAsia"/>
          <w:sz w:val="24"/>
          <w:highlight w:val="none"/>
        </w:rPr>
      </w:pPr>
      <w:r>
        <w:rPr>
          <w:rFonts w:hint="eastAsia"/>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sz w:val="24"/>
          <w:highlight w:val="none"/>
        </w:rPr>
      </w:pPr>
      <w:r>
        <w:rPr>
          <w:rFonts w:hint="eastAsia"/>
          <w:sz w:val="24"/>
          <w:highlight w:val="none"/>
        </w:rPr>
        <w:t xml:space="preserve">3.关于常州市中小企业政府采购信用融资：</w:t>
      </w:r>
      <w:r/>
    </w:p>
    <w:p>
      <w:pPr>
        <w:ind w:firstLine="480"/>
        <w:spacing w:line="360" w:lineRule="auto"/>
        <w:rPr>
          <w:rFonts w:hint="default"/>
          <w:sz w:val="24"/>
          <w:highlight w:val="none"/>
          <w:lang w:val="en-US" w:eastAsia="zh-CN"/>
        </w:rPr>
      </w:pPr>
      <w:r>
        <w:rPr>
          <w:rFonts w:hint="eastAsia"/>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pStyle w:val="961"/>
        <w:jc w:val="left"/>
        <w:spacing w:before="0" w:line="360" w:lineRule="auto"/>
        <w:rPr>
          <w:rFonts w:ascii="Times New Roman" w:hAnsi="Times New Roman" w:eastAsia="宋体"/>
          <w:sz w:val="24"/>
          <w:szCs w:val="24"/>
          <w:highlight w:val="none"/>
        </w:rPr>
      </w:pPr>
      <w:r/>
      <w:bookmarkStart w:id="25" w:name="_Toc35393796"/>
      <w:r/>
      <w:bookmarkStart w:id="26" w:name="_Toc28359085"/>
      <w:r/>
      <w:bookmarkStart w:id="27" w:name="_Toc35393627"/>
      <w:r/>
      <w:bookmarkStart w:id="28" w:name="_Toc28359008"/>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sz w:val="24"/>
          <w:highlight w:val="none"/>
        </w:rPr>
      </w:pPr>
      <w:r/>
      <w:bookmarkStart w:id="29" w:name="_Toc28359009"/>
      <w:r/>
      <w:bookmarkStart w:id="30" w:name="_Toc28359086"/>
      <w:r>
        <w:rPr>
          <w:sz w:val="24"/>
          <w:highlight w:val="none"/>
        </w:rPr>
        <w:t xml:space="preserve">名    称：</w:t>
      </w:r>
      <w:r>
        <w:rPr>
          <w:rFonts w:hint="eastAsia"/>
          <w:sz w:val="24"/>
          <w:highlight w:val="none"/>
          <w:lang w:val="en-US" w:eastAsia="zh-CN"/>
        </w:rPr>
        <w:t xml:space="preserve">溧阳市人民政府古县街道办事处</w:t>
      </w:r>
      <w:r>
        <w:rPr>
          <w:sz w:val="24"/>
          <w:highlight w:val="none"/>
        </w:rPr>
        <w:t xml:space="preserve"> </w:t>
      </w:r>
      <w:r/>
    </w:p>
    <w:p>
      <w:pPr>
        <w:ind w:left="1079" w:hanging="300"/>
        <w:jc w:val="left"/>
        <w:spacing w:line="360" w:lineRule="auto"/>
        <w:rPr>
          <w:rFonts w:hint="eastAsia" w:eastAsia="宋体"/>
          <w:sz w:val="24"/>
          <w:highlight w:val="none"/>
          <w:lang w:eastAsia="zh-CN"/>
        </w:rPr>
      </w:pPr>
      <w:r>
        <w:rPr>
          <w:sz w:val="24"/>
          <w:highlight w:val="none"/>
        </w:rPr>
        <w:t xml:space="preserve">地    址：</w:t>
      </w:r>
      <w:r>
        <w:rPr>
          <w:rFonts w:hint="eastAsia"/>
          <w:sz w:val="24"/>
          <w:highlight w:val="none"/>
          <w:lang w:eastAsia="zh-CN"/>
        </w:rPr>
        <w:t xml:space="preserve">溧阳市茶亭古县南路58号</w:t>
      </w:r>
      <w:r/>
    </w:p>
    <w:p>
      <w:pPr>
        <w:ind w:left="1079" w:hanging="300"/>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lang w:val="en-US" w:eastAsia="zh-CN"/>
        </w:rPr>
        <w:t xml:space="preserve">0519-87898802</w:t>
      </w:r>
      <w:r/>
    </w:p>
    <w:p>
      <w:pPr>
        <w:ind w:left="1078" w:hanging="299"/>
        <w:jc w:val="left"/>
        <w:spacing w:line="360" w:lineRule="auto"/>
        <w:rPr>
          <w:b/>
          <w:sz w:val="24"/>
          <w:highlight w:val="none"/>
        </w:rPr>
      </w:pPr>
      <w:r>
        <w:rPr>
          <w:b/>
          <w:sz w:val="24"/>
          <w:highlight w:val="none"/>
        </w:rPr>
        <w:t xml:space="preserve">2.采购代理机构信息</w:t>
      </w:r>
      <w:bookmarkEnd w:id="29"/>
      <w:r/>
      <w:bookmarkEnd w:id="30"/>
      <w:r/>
      <w:r/>
    </w:p>
    <w:p>
      <w:pPr>
        <w:ind w:left="1076" w:hanging="297"/>
        <w:jc w:val="left"/>
        <w:spacing w:line="360" w:lineRule="auto"/>
        <w:rPr>
          <w:rFonts w:hint="eastAsia" w:eastAsia="宋体"/>
          <w:sz w:val="24"/>
          <w:highlight w:val="none"/>
          <w:lang w:eastAsia="zh-CN"/>
        </w:rPr>
      </w:pPr>
      <w:r/>
      <w:bookmarkStart w:id="31" w:name="_Toc28359087"/>
      <w:r/>
      <w:bookmarkStart w:id="32" w:name="_Toc28359010"/>
      <w:r>
        <w:rPr>
          <w:sz w:val="24"/>
          <w:highlight w:val="none"/>
        </w:rPr>
        <w:t xml:space="preserve">名    称：</w:t>
      </w:r>
      <w:r>
        <w:rPr>
          <w:rFonts w:hint="eastAsia"/>
          <w:sz w:val="24"/>
          <w:highlight w:val="none"/>
          <w:lang w:val="en-US" w:eastAsia="zh-CN"/>
        </w:rPr>
        <w:t xml:space="preserve">溧阳市天曌项目管理有限公司</w:t>
      </w:r>
      <w:r/>
    </w:p>
    <w:p>
      <w:pPr>
        <w:ind w:left="1076" w:hanging="297"/>
        <w:jc w:val="left"/>
        <w:spacing w:line="360" w:lineRule="auto"/>
        <w:rPr>
          <w:rFonts w:hint="eastAsia" w:eastAsia="宋体"/>
          <w:sz w:val="24"/>
          <w:highlight w:val="none"/>
          <w:lang w:eastAsia="zh-CN"/>
        </w:rPr>
      </w:pPr>
      <w:r>
        <w:rPr>
          <w:sz w:val="24"/>
          <w:highlight w:val="none"/>
        </w:rPr>
        <w:t xml:space="preserve">地    址：</w:t>
      </w:r>
      <w:r>
        <w:rPr>
          <w:rFonts w:hint="eastAsia"/>
          <w:sz w:val="24"/>
          <w:highlight w:val="none"/>
          <w:lang w:eastAsia="zh-CN"/>
        </w:rPr>
        <w:t xml:space="preserve">溧阳市古县街道溪缘东路2号8807室</w:t>
      </w:r>
      <w:r/>
    </w:p>
    <w:p>
      <w:pPr>
        <w:ind w:left="1076" w:hanging="297"/>
        <w:jc w:val="left"/>
        <w:spacing w:line="360" w:lineRule="auto"/>
        <w:rPr>
          <w:rFonts w:hint="default" w:eastAsia="宋体"/>
          <w:sz w:val="24"/>
          <w:highlight w:val="none"/>
          <w:u w:val="single"/>
          <w:lang w:val="en-US" w:eastAsia="zh-CN"/>
        </w:rPr>
      </w:pPr>
      <w:r>
        <w:rPr>
          <w:sz w:val="24"/>
          <w:highlight w:val="none"/>
        </w:rPr>
        <w:t xml:space="preserve">联系方式：</w:t>
      </w:r>
      <w:r>
        <w:rPr>
          <w:rFonts w:hint="eastAsia"/>
          <w:sz w:val="24"/>
          <w:highlight w:val="none"/>
          <w:lang w:val="en-US" w:eastAsia="zh-CN"/>
        </w:rPr>
        <w:t xml:space="preserve">0519-87337776</w:t>
      </w:r>
      <w:r/>
    </w:p>
    <w:p>
      <w:pPr>
        <w:ind w:left="1078" w:hanging="299"/>
        <w:spacing w:line="360" w:lineRule="auto"/>
        <w:rPr>
          <w:b/>
          <w:sz w:val="24"/>
          <w:highlight w:val="none"/>
          <w:u w:val="single"/>
        </w:rPr>
      </w:pPr>
      <w:r>
        <w:rPr>
          <w:b/>
          <w:sz w:val="24"/>
          <w:highlight w:val="none"/>
        </w:rPr>
        <w:t xml:space="preserve">3.项目联系方式</w:t>
      </w:r>
      <w:bookmarkEnd w:id="31"/>
      <w:r/>
      <w:bookmarkEnd w:id="32"/>
      <w:r/>
      <w:r/>
    </w:p>
    <w:p>
      <w:pPr>
        <w:pStyle w:val="967"/>
        <w:ind w:left="1076" w:hanging="297"/>
        <w:spacing w:line="360" w:lineRule="auto"/>
        <w:rPr>
          <w:rFonts w:hint="default" w:ascii="Times New Roman" w:hAnsi="Times New Roman" w:eastAsia="宋体"/>
          <w:sz w:val="24"/>
          <w:highlight w:val="none"/>
          <w:u w:val="single"/>
          <w:lang w:val="en-US" w:eastAsia="zh-CN" w:bidi="ar"/>
        </w:rPr>
      </w:pPr>
      <w:r>
        <w:rPr>
          <w:rFonts w:hint="default" w:ascii="Times New Roman" w:hAnsi="Times New Roman"/>
          <w:sz w:val="24"/>
          <w:szCs w:val="24"/>
          <w:highlight w:val="none"/>
        </w:rPr>
        <w:t xml:space="preserve">项目联系人：</w:t>
      </w:r>
      <w:r>
        <w:rPr>
          <w:rFonts w:hint="eastAsia" w:ascii="Times New Roman" w:hAnsi="Times New Roman"/>
          <w:sz w:val="24"/>
          <w:highlight w:val="none"/>
          <w:lang w:val="en-US" w:eastAsia="zh-CN"/>
        </w:rPr>
        <w:t xml:space="preserve">张先生</w:t>
      </w:r>
      <w:r/>
    </w:p>
    <w:p>
      <w:pPr>
        <w:pStyle w:val="967"/>
        <w:ind w:left="1076" w:hanging="297"/>
        <w:spacing w:line="360" w:lineRule="auto"/>
        <w:rPr>
          <w:rFonts w:hint="default" w:ascii="Times New Roman" w:hAnsi="Times New Roman"/>
          <w:sz w:val="24"/>
          <w:szCs w:val="24"/>
          <w:highlight w:val="none"/>
        </w:rPr>
      </w:pPr>
      <w:r>
        <w:rPr>
          <w:rFonts w:hint="default" w:ascii="Times New Roman" w:hAnsi="Times New Roman"/>
          <w:sz w:val="24"/>
          <w:highlight w:val="none"/>
        </w:rPr>
        <w:t xml:space="preserve">电      话：</w:t>
      </w:r>
      <w:r>
        <w:rPr>
          <w:rFonts w:hint="eastAsia" w:ascii="Times New Roman" w:hAnsi="Times New Roman"/>
          <w:sz w:val="24"/>
          <w:highlight w:val="none"/>
          <w:lang w:val="en-US" w:eastAsia="zh-CN"/>
        </w:rPr>
        <w:t xml:space="preserve">0519-87337776</w:t>
      </w:r>
      <w:r>
        <w:rPr>
          <w:rFonts w:hint="default" w:ascii="Times New Roman" w:hAnsi="Times New Roman"/>
          <w:sz w:val="24"/>
          <w:szCs w:val="24"/>
          <w:highlight w:val="none"/>
        </w:rPr>
        <w:t xml:space="preserve"> </w:t>
      </w:r>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3" w:name="_Toc264969275"/>
      <w:r/>
      <w:bookmarkStart w:id="34" w:name="_Toc195842950"/>
      <w:r/>
      <w:bookmarkStart w:id="35" w:name="_Toc305158854"/>
      <w:r/>
      <w:bookmarkStart w:id="36" w:name="_Toc353825548"/>
      <w:r/>
      <w:bookmarkStart w:id="37" w:name="_Toc150774783"/>
      <w:r/>
      <w:bookmarkStart w:id="38" w:name="_Toc353873938"/>
      <w:r/>
      <w:bookmarkStart w:id="39" w:name="_Toc265228423"/>
      <w:r/>
      <w:bookmarkStart w:id="40" w:name="_Toc305158928"/>
      <w:r/>
      <w:bookmarkStart w:id="41" w:name="_Toc226965856"/>
      <w:r/>
      <w:bookmarkStart w:id="42" w:name="_Toc127161488"/>
      <w:r/>
      <w:bookmarkStart w:id="43" w:name="_Toc104818926"/>
      <w:r/>
      <w:bookmarkStart w:id="44" w:name="_Toc512937850"/>
      <w:r/>
      <w:bookmarkStart w:id="45" w:name="_Toc127151777"/>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61"/>
        <w:spacing w:before="0" w:line="360" w:lineRule="auto"/>
        <w:tabs>
          <w:tab w:val="center" w:pos="4592" w:leader="none"/>
          <w:tab w:val="left" w:pos="7860" w:leader="none"/>
        </w:tabs>
        <w:rPr>
          <w:b/>
          <w:sz w:val="28"/>
          <w:szCs w:val="28"/>
          <w:highlight w:val="none"/>
        </w:rPr>
      </w:pPr>
      <w:r/>
      <w:bookmarkStart w:id="46" w:name="_Toc226965792"/>
      <w:r/>
      <w:bookmarkStart w:id="47" w:name="_Toc164608633"/>
      <w:r/>
      <w:bookmarkStart w:id="48" w:name="_Toc151190146"/>
      <w:r/>
      <w:bookmarkStart w:id="49" w:name="_Toc151193689"/>
      <w:r/>
      <w:bookmarkStart w:id="50" w:name="_Toc150480757"/>
      <w:r/>
      <w:bookmarkStart w:id="51" w:name="_Toc149720812"/>
      <w:r/>
      <w:bookmarkStart w:id="52" w:name="_Toc151193833"/>
      <w:r/>
      <w:bookmarkStart w:id="53" w:name="_Toc151193761"/>
      <w:r/>
      <w:bookmarkStart w:id="54" w:name="_Toc164229214"/>
      <w:r/>
      <w:bookmarkStart w:id="55" w:name="_Toc142311021"/>
      <w:r/>
      <w:bookmarkStart w:id="56" w:name="_Toc151193617"/>
      <w:r/>
      <w:bookmarkStart w:id="57" w:name="_Toc127161433"/>
      <w:r/>
      <w:bookmarkStart w:id="58" w:name="_Toc226337215"/>
      <w:r/>
      <w:bookmarkStart w:id="59" w:name="_Toc164608788"/>
      <w:r/>
      <w:bookmarkStart w:id="60" w:name="_Toc164351613"/>
      <w:r/>
      <w:bookmarkStart w:id="61" w:name="_Toc127151720"/>
      <w:r/>
      <w:bookmarkStart w:id="62" w:name="_Toc151193907"/>
      <w:r/>
      <w:bookmarkStart w:id="63" w:name="_Toc150509270"/>
      <w:r/>
      <w:bookmarkStart w:id="64" w:name="_Toc127151519"/>
      <w:r/>
      <w:bookmarkStart w:id="65" w:name="_Toc226965709"/>
      <w:r/>
      <w:bookmarkStart w:id="66" w:name="_Toc195842884"/>
      <w:r/>
      <w:bookmarkStart w:id="67" w:name="_Toc164229360"/>
      <w:r/>
      <w:bookmarkStart w:id="68" w:name="_Toc150774619"/>
      <w:r/>
      <w:bookmarkStart w:id="69" w:name="_Toc150774724"/>
      <w:r/>
      <w:bookmarkStart w:id="70" w:name="_Toc520356144"/>
      <w:r/>
      <w:bookmarkStart w:id="71" w:name="_Toc226309763"/>
      <w:r>
        <w:rPr>
          <w:rFonts w:ascii="Times New Roman" w:hAnsi="Times New Roman" w:eastAsia="宋体"/>
          <w:sz w:val="28"/>
          <w:highlight w:val="none"/>
        </w:rPr>
        <w:t xml:space="preserve">供应商须知资料表</w:t>
      </w:r>
      <w:r/>
    </w:p>
    <w:p>
      <w:pPr>
        <w:ind w:firstLine="480"/>
        <w:spacing w:line="360" w:lineRule="auto"/>
        <w:rPr>
          <w:sz w:val="24"/>
          <w:highlight w:val="none"/>
        </w:rPr>
      </w:pPr>
      <w:r>
        <w:rPr>
          <w:sz w:val="24"/>
          <w:highlight w:val="none"/>
        </w:rPr>
        <w:t xml:space="preserve">本表是对供应商须知的具体补充和修改，如有矛盾，均以本资料表为准。</w:t>
      </w:r>
      <w:r/>
    </w:p>
    <w:tbl>
      <w:tblPr>
        <w:tblStyle w:val="964"/>
        <w:tblW w:w="499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736"/>
        <w:gridCol w:w="6481"/>
      </w:tblGrid>
      <w:tr>
        <w:trPr>
          <w:jc w:val="center"/>
          <w:trHeight w:val="850"/>
          <w:tblHeader/>
        </w:trPr>
        <w:tc>
          <w:tcPr>
            <w:tcW w:w="573" w:type="pct"/>
            <w:vAlign w:val="center"/>
            <w:textDirection w:val="lrTb"/>
            <w:noWrap w:val="false"/>
          </w:tcPr>
          <w:p>
            <w:pPr>
              <w:jc w:val="center"/>
              <w:spacing w:line="360" w:lineRule="auto"/>
              <w:rPr>
                <w:b/>
                <w:bCs/>
                <w:sz w:val="24"/>
                <w:szCs w:val="24"/>
                <w:highlight w:val="none"/>
              </w:rPr>
            </w:pPr>
            <w:r>
              <w:rPr>
                <w:b/>
                <w:sz w:val="24"/>
                <w:szCs w:val="24"/>
                <w:highlight w:val="none"/>
              </w:rPr>
              <w:t xml:space="preserve">条款号</w:t>
            </w:r>
            <w:r/>
          </w:p>
        </w:tc>
        <w:tc>
          <w:tcPr>
            <w:tcW w:w="935" w:type="pct"/>
            <w:vAlign w:val="center"/>
            <w:textDirection w:val="lrTb"/>
            <w:noWrap w:val="false"/>
          </w:tcPr>
          <w:p>
            <w:pPr>
              <w:jc w:val="center"/>
              <w:spacing w:line="360" w:lineRule="auto"/>
              <w:rPr>
                <w:b/>
                <w:bCs/>
                <w:sz w:val="24"/>
                <w:szCs w:val="24"/>
                <w:highlight w:val="none"/>
              </w:rPr>
            </w:pPr>
            <w:r>
              <w:rPr>
                <w:b/>
                <w:bCs/>
                <w:sz w:val="24"/>
                <w:szCs w:val="24"/>
                <w:highlight w:val="none"/>
              </w:rPr>
              <w:t xml:space="preserve">条目</w:t>
            </w:r>
            <w:r/>
          </w:p>
        </w:tc>
        <w:tc>
          <w:tcPr>
            <w:tcW w:w="3491" w:type="pct"/>
            <w:vAlign w:val="center"/>
            <w:textDirection w:val="lrTb"/>
            <w:noWrap w:val="false"/>
          </w:tcPr>
          <w:p>
            <w:pPr>
              <w:jc w:val="center"/>
              <w:spacing w:line="360" w:lineRule="auto"/>
              <w:rPr>
                <w:b/>
                <w:bCs/>
                <w:sz w:val="24"/>
                <w:szCs w:val="24"/>
                <w:highlight w:val="none"/>
              </w:rPr>
            </w:pPr>
            <w:r>
              <w:rPr>
                <w:b/>
                <w:bCs/>
                <w:sz w:val="24"/>
                <w:szCs w:val="24"/>
                <w:highlight w:val="none"/>
              </w:rPr>
              <w:t xml:space="preserve">内容</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2.2</w:t>
            </w:r>
            <w:r/>
          </w:p>
        </w:tc>
        <w:tc>
          <w:tcPr>
            <w:tcW w:w="935" w:type="pct"/>
            <w:vAlign w:val="center"/>
            <w:textDirection w:val="lrTb"/>
            <w:noWrap w:val="false"/>
          </w:tcPr>
          <w:p>
            <w:pPr>
              <w:jc w:val="center"/>
              <w:spacing w:line="360" w:lineRule="auto"/>
              <w:rPr>
                <w:sz w:val="24"/>
                <w:highlight w:val="none"/>
              </w:rPr>
            </w:pPr>
            <w:r>
              <w:rPr>
                <w:sz w:val="24"/>
                <w:highlight w:val="none"/>
              </w:rPr>
              <w:t xml:space="preserve">项目属性</w:t>
            </w:r>
            <w:r/>
          </w:p>
        </w:tc>
        <w:tc>
          <w:tcPr>
            <w:tcW w:w="3491" w:type="pct"/>
            <w:vAlign w:val="center"/>
            <w:textDirection w:val="lrTb"/>
            <w:noWrap w:val="false"/>
          </w:tcPr>
          <w:p>
            <w:pPr>
              <w:jc w:val="left"/>
              <w:spacing w:line="360" w:lineRule="auto"/>
              <w:rPr>
                <w:sz w:val="24"/>
                <w:highlight w:val="none"/>
                <w:u w:val="single"/>
              </w:rPr>
            </w:pPr>
            <w:r>
              <w:rPr>
                <w:sz w:val="24"/>
                <w:highlight w:val="none"/>
              </w:rPr>
              <w:t xml:space="preserve">项目属性：</w:t>
            </w:r>
            <w:r>
              <w:rPr>
                <w:rFonts w:ascii="Times New Roman" w:hAnsi="Times New Roman" w:cs="Times New Roman"/>
                <w:color w:val="auto"/>
                <w:sz w:val="32"/>
                <w:szCs w:val="32"/>
                <w:highlight w:val="none"/>
              </w:rPr>
              <w:t xml:space="preserve">■</w:t>
            </w:r>
            <w:r>
              <w:rPr>
                <w:sz w:val="24"/>
                <w:highlight w:val="none"/>
              </w:rPr>
              <w:t xml:space="preserve">服务</w:t>
            </w:r>
            <w:r>
              <w:rPr>
                <w:rFonts w:hint="eastAsia"/>
                <w:sz w:val="24"/>
                <w:highlight w:val="none"/>
                <w:lang w:val="en-US" w:eastAsia="zh-CN"/>
              </w:rPr>
              <w:t xml:space="preserve">  </w:t>
            </w:r>
            <w:r>
              <w:rPr>
                <w:rFonts w:ascii="Wingdings 2" w:hAnsi="Wingdings 2" w:eastAsia="Wingdings 2" w:cs="Wingdings 2"/>
                <w:highlight w:val="none"/>
              </w:rPr>
              <w:t xml:space="preserve">£</w:t>
            </w:r>
            <w:r>
              <w:rPr>
                <w:sz w:val="24"/>
                <w:highlight w:val="none"/>
              </w:rPr>
              <w:t xml:space="preserve">货物</w:t>
            </w:r>
            <w:r>
              <w:rPr>
                <w:rFonts w:hint="eastAsia"/>
                <w:sz w:val="24"/>
                <w:highlight w:val="none"/>
                <w:lang w:val="en-US" w:eastAsia="zh-CN"/>
              </w:rPr>
              <w:t xml:space="preserve">  </w:t>
            </w:r>
            <w:r>
              <w:rPr>
                <w:rFonts w:ascii="Wingdings 2" w:hAnsi="Wingdings 2" w:eastAsia="Wingdings 2" w:cs="Wingdings 2"/>
                <w:highlight w:val="none"/>
              </w:rPr>
              <w:t xml:space="preserve">£</w:t>
            </w:r>
            <w:r>
              <w:rPr>
                <w:rFonts w:hint="eastAsia"/>
                <w:sz w:val="24"/>
                <w:highlight w:val="none"/>
              </w:rPr>
              <w:t xml:space="preserve">工程</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2.3</w:t>
            </w:r>
            <w:r/>
          </w:p>
        </w:tc>
        <w:tc>
          <w:tcPr>
            <w:tcW w:w="935" w:type="pct"/>
            <w:vAlign w:val="center"/>
            <w:textDirection w:val="lrTb"/>
            <w:noWrap w:val="false"/>
          </w:tcPr>
          <w:p>
            <w:pPr>
              <w:jc w:val="center"/>
              <w:spacing w:line="360" w:lineRule="auto"/>
              <w:rPr>
                <w:sz w:val="24"/>
                <w:highlight w:val="none"/>
              </w:rPr>
            </w:pPr>
            <w:r>
              <w:rPr>
                <w:sz w:val="24"/>
                <w:highlight w:val="none"/>
              </w:rPr>
              <w:t xml:space="preserve">科研仪器设备</w:t>
            </w:r>
            <w:r/>
          </w:p>
        </w:tc>
        <w:tc>
          <w:tcPr>
            <w:tcW w:w="3491" w:type="pct"/>
            <w:vAlign w:val="center"/>
            <w:textDirection w:val="lrTb"/>
            <w:noWrap w:val="false"/>
          </w:tcPr>
          <w:p>
            <w:pPr>
              <w:jc w:val="left"/>
              <w:spacing w:line="360" w:lineRule="auto"/>
              <w:rPr>
                <w:sz w:val="24"/>
                <w:highlight w:val="none"/>
              </w:rPr>
            </w:pPr>
            <w:r>
              <w:rPr>
                <w:sz w:val="24"/>
                <w:highlight w:val="none"/>
              </w:rPr>
              <w:t xml:space="preserve">是否属于科研仪器设备采购项目：</w:t>
            </w:r>
            <w:r>
              <w:rPr>
                <w:rFonts w:ascii="Wingdings 2" w:hAnsi="Wingdings 2" w:eastAsia="Wingdings 2" w:cs="Wingdings 2"/>
                <w:highlight w:val="none"/>
              </w:rPr>
              <w:t xml:space="preserve">£</w:t>
            </w:r>
            <w:r>
              <w:rPr>
                <w:sz w:val="24"/>
                <w:highlight w:val="none"/>
              </w:rPr>
              <w:t xml:space="preserve">是</w:t>
            </w:r>
            <w:r>
              <w:rPr>
                <w:rFonts w:hint="eastAsia"/>
                <w:sz w:val="24"/>
                <w:highlight w:val="none"/>
                <w:lang w:val="en-US" w:eastAsia="zh-CN"/>
              </w:rPr>
              <w:t xml:space="preserve">  </w:t>
            </w:r>
            <w:r>
              <w:rPr>
                <w:rFonts w:ascii="Times New Roman" w:hAnsi="Times New Roman" w:cs="Times New Roman"/>
                <w:color w:val="auto"/>
                <w:sz w:val="32"/>
                <w:szCs w:val="32"/>
                <w:highlight w:val="none"/>
              </w:rPr>
              <w:t xml:space="preserve">■</w:t>
            </w:r>
            <w:r>
              <w:rPr>
                <w:sz w:val="24"/>
                <w:highlight w:val="none"/>
              </w:rPr>
              <w:t xml:space="preserve">否</w:t>
            </w:r>
            <w:r/>
          </w:p>
        </w:tc>
      </w:tr>
      <w:tr>
        <w:trPr>
          <w:jc w:val="center"/>
          <w:trHeight w:val="850"/>
        </w:trPr>
        <w:tc>
          <w:tcPr>
            <w:tcW w:w="573" w:type="pct"/>
            <w:vAlign w:val="center"/>
            <w:vMerge w:val="restart"/>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3.1</w:t>
            </w:r>
            <w:r/>
          </w:p>
        </w:tc>
        <w:tc>
          <w:tcPr>
            <w:tcW w:w="935" w:type="pct"/>
            <w:vAlign w:val="center"/>
            <w:textDirection w:val="lrTb"/>
            <w:noWrap w:val="false"/>
          </w:tcPr>
          <w:p>
            <w:pPr>
              <w:jc w:val="center"/>
              <w:spacing w:line="360" w:lineRule="auto"/>
              <w:rPr>
                <w:sz w:val="24"/>
                <w:highlight w:val="none"/>
              </w:rPr>
            </w:pPr>
            <w:r>
              <w:rPr>
                <w:sz w:val="24"/>
                <w:highlight w:val="none"/>
              </w:rPr>
              <w:t xml:space="preserve">现场考察</w:t>
            </w:r>
            <w:r/>
          </w:p>
        </w:tc>
        <w:tc>
          <w:tcPr>
            <w:tcW w:w="3491" w:type="pct"/>
            <w:vAlign w:val="center"/>
            <w:textDirection w:val="lrTb"/>
            <w:noWrap w:val="false"/>
          </w:tcPr>
          <w:p>
            <w:pPr>
              <w:jc w:val="left"/>
              <w:spacing w:line="360" w:lineRule="auto"/>
              <w:rPr>
                <w:rFonts w:hint="default" w:ascii="Times New Roman" w:hAnsi="Times New Roman"/>
                <w:sz w:val="24"/>
                <w:szCs w:val="24"/>
                <w:highlight w:val="none"/>
              </w:rPr>
            </w:pPr>
            <w:r>
              <w:rPr>
                <w:rFonts w:ascii="Times New Roman" w:hAnsi="Times New Roman" w:cs="Times New Roman"/>
                <w:color w:val="auto"/>
                <w:sz w:val="32"/>
                <w:szCs w:val="32"/>
                <w:highlight w:val="none"/>
              </w:rPr>
              <w:t xml:space="preserve">■</w:t>
            </w:r>
            <w:r>
              <w:rPr>
                <w:sz w:val="24"/>
                <w:highlight w:val="none"/>
              </w:rPr>
              <w:t xml:space="preserve">不组织</w:t>
            </w:r>
            <w:r>
              <w:rPr>
                <w:rFonts w:hint="eastAsia"/>
                <w:sz w:val="24"/>
                <w:highlight w:val="none"/>
                <w:lang w:val="en-US" w:eastAsia="zh-CN"/>
              </w:rPr>
              <w:t xml:space="preserve">  </w:t>
            </w:r>
            <w:r>
              <w:rPr>
                <w:rFonts w:ascii="Wingdings 2" w:hAnsi="Wingdings 2" w:eastAsia="Wingdings 2" w:cs="Wingdings 2"/>
                <w:highlight w:val="none"/>
              </w:rPr>
              <w:t xml:space="preserve">£</w:t>
            </w:r>
            <w:r>
              <w:rPr>
                <w:sz w:val="24"/>
                <w:highlight w:val="none"/>
              </w:rPr>
              <w:t xml:space="preserve">组织</w:t>
            </w:r>
            <w:r/>
          </w:p>
        </w:tc>
      </w:tr>
      <w:tr>
        <w:trPr>
          <w:jc w:val="center"/>
          <w:trHeight w:val="850"/>
        </w:trPr>
        <w:tc>
          <w:tcPr>
            <w:tcW w:w="573" w:type="pct"/>
            <w:vAlign w:val="center"/>
            <w:vMerge w:val="continue"/>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r>
            <w:r/>
          </w:p>
        </w:tc>
        <w:tc>
          <w:tcPr>
            <w:tcW w:w="935" w:type="pct"/>
            <w:vAlign w:val="center"/>
            <w:textDirection w:val="lrTb"/>
            <w:noWrap w:val="false"/>
          </w:tcPr>
          <w:p>
            <w:pPr>
              <w:jc w:val="center"/>
              <w:spacing w:line="360" w:lineRule="auto"/>
              <w:rPr>
                <w:sz w:val="24"/>
                <w:highlight w:val="none"/>
              </w:rPr>
            </w:pPr>
            <w:r>
              <w:rPr>
                <w:sz w:val="24"/>
                <w:highlight w:val="none"/>
              </w:rPr>
              <w:t xml:space="preserve">磋商前答疑会</w:t>
            </w:r>
            <w:r/>
          </w:p>
        </w:tc>
        <w:tc>
          <w:tcPr>
            <w:tcW w:w="3491" w:type="pct"/>
            <w:vAlign w:val="center"/>
            <w:textDirection w:val="lrTb"/>
            <w:noWrap w:val="false"/>
          </w:tcPr>
          <w:p>
            <w:pPr>
              <w:jc w:val="left"/>
              <w:spacing w:line="360" w:lineRule="auto"/>
              <w:rPr>
                <w:rFonts w:hint="eastAsia" w:eastAsia="宋体"/>
                <w:sz w:val="24"/>
                <w:highlight w:val="none"/>
                <w:lang w:val="en-US" w:eastAsia="zh-CN"/>
              </w:rPr>
            </w:pPr>
            <w:r>
              <w:rPr>
                <w:rFonts w:ascii="Times New Roman" w:hAnsi="Times New Roman" w:cs="Times New Roman"/>
                <w:color w:val="auto"/>
                <w:sz w:val="32"/>
                <w:szCs w:val="32"/>
                <w:highlight w:val="none"/>
              </w:rPr>
              <w:t xml:space="preserve">■</w:t>
            </w:r>
            <w:r>
              <w:rPr>
                <w:sz w:val="24"/>
                <w:highlight w:val="none"/>
              </w:rPr>
              <w:t xml:space="preserve">不召开</w:t>
            </w:r>
            <w:r>
              <w:rPr>
                <w:rFonts w:hint="eastAsia"/>
                <w:sz w:val="24"/>
                <w:highlight w:val="none"/>
                <w:lang w:val="en-US" w:eastAsia="zh-CN"/>
              </w:rPr>
              <w:t xml:space="preserve">  </w:t>
            </w:r>
            <w:r>
              <w:rPr>
                <w:rFonts w:ascii="Wingdings 2" w:hAnsi="Wingdings 2" w:eastAsia="Wingdings 2" w:cs="Wingdings 2"/>
                <w:highlight w:val="none"/>
              </w:rPr>
              <w:t xml:space="preserve">£</w:t>
            </w:r>
            <w:r>
              <w:rPr>
                <w:sz w:val="24"/>
                <w:highlight w:val="none"/>
              </w:rPr>
              <w:t xml:space="preserve">召开</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4.2.5</w:t>
            </w:r>
            <w:r/>
          </w:p>
        </w:tc>
        <w:tc>
          <w:tcPr>
            <w:tcW w:w="935" w:type="pct"/>
            <w:vAlign w:val="center"/>
            <w:textDirection w:val="lrTb"/>
            <w:noWrap w:val="false"/>
          </w:tcPr>
          <w:p>
            <w:pPr>
              <w:jc w:val="center"/>
              <w:spacing w:line="360" w:lineRule="auto"/>
              <w:rPr>
                <w:sz w:val="24"/>
                <w:highlight w:val="none"/>
              </w:rPr>
            </w:pPr>
            <w:r>
              <w:rPr>
                <w:sz w:val="24"/>
                <w:highlight w:val="none"/>
              </w:rPr>
              <w:t xml:space="preserve">标的所属行业</w:t>
            </w:r>
            <w:r/>
          </w:p>
        </w:tc>
        <w:tc>
          <w:tcPr>
            <w:tcW w:w="3491" w:type="pct"/>
            <w:vAlign w:val="center"/>
            <w:textDirection w:val="lrTb"/>
            <w:noWrap w:val="false"/>
          </w:tcPr>
          <w:p>
            <w:pPr>
              <w:jc w:val="both"/>
              <w:spacing w:line="360" w:lineRule="auto"/>
              <w:rPr>
                <w:sz w:val="24"/>
                <w:highlight w:val="none"/>
              </w:rPr>
            </w:pPr>
            <w:r>
              <w:rPr>
                <w:sz w:val="24"/>
                <w:highlight w:val="none"/>
              </w:rPr>
              <w:t xml:space="preserve">本项目采购标的对应的中小企业划分标准所属行业：</w:t>
            </w:r>
            <w:r>
              <w:rPr>
                <w:rFonts w:hint="eastAsia"/>
                <w:sz w:val="24"/>
                <w:highlight w:val="none"/>
                <w:u w:val="none"/>
                <w:lang w:val="en-US" w:eastAsia="zh-CN"/>
              </w:rPr>
              <w:t xml:space="preserve">其他未列明行业</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10.2</w:t>
            </w:r>
            <w:r/>
          </w:p>
        </w:tc>
        <w:tc>
          <w:tcPr>
            <w:tcW w:w="935" w:type="pct"/>
            <w:vAlign w:val="center"/>
            <w:textDirection w:val="lrTb"/>
            <w:noWrap w:val="false"/>
          </w:tcPr>
          <w:p>
            <w:pPr>
              <w:jc w:val="center"/>
              <w:spacing w:line="360" w:lineRule="auto"/>
              <w:rPr>
                <w:sz w:val="24"/>
                <w:highlight w:val="none"/>
              </w:rPr>
            </w:pPr>
            <w:r>
              <w:rPr>
                <w:sz w:val="24"/>
                <w:highlight w:val="none"/>
              </w:rPr>
              <w:t xml:space="preserve">报价</w:t>
            </w:r>
            <w:r/>
          </w:p>
        </w:tc>
        <w:tc>
          <w:tcPr>
            <w:tcW w:w="3491" w:type="pct"/>
            <w:vAlign w:val="center"/>
            <w:textDirection w:val="lrTb"/>
            <w:noWrap w:val="false"/>
          </w:tcPr>
          <w:p>
            <w:pPr>
              <w:jc w:val="left"/>
              <w:spacing w:line="360" w:lineRule="auto"/>
              <w:rPr>
                <w:sz w:val="24"/>
                <w:highlight w:val="none"/>
              </w:rPr>
            </w:pPr>
            <w:r>
              <w:rPr>
                <w:sz w:val="24"/>
                <w:highlight w:val="none"/>
              </w:rPr>
              <w:t xml:space="preserve">报价的特殊规定：</w:t>
            </w:r>
            <w:r>
              <w:rPr>
                <w:rFonts w:ascii="Times New Roman" w:hAnsi="Times New Roman" w:cs="Times New Roman"/>
                <w:color w:val="auto"/>
                <w:sz w:val="32"/>
                <w:szCs w:val="32"/>
                <w:highlight w:val="none"/>
              </w:rPr>
              <w:t xml:space="preserve">■</w:t>
            </w:r>
            <w:r>
              <w:rPr>
                <w:sz w:val="24"/>
                <w:highlight w:val="none"/>
              </w:rPr>
              <w:t xml:space="preserve">无</w:t>
            </w:r>
            <w:r>
              <w:rPr>
                <w:rFonts w:hint="eastAsia"/>
                <w:sz w:val="24"/>
                <w:highlight w:val="none"/>
                <w:lang w:val="en-US" w:eastAsia="zh-CN"/>
              </w:rPr>
              <w:t xml:space="preserve">  </w:t>
            </w:r>
            <w:r>
              <w:rPr>
                <w:rFonts w:ascii="Wingdings 2" w:hAnsi="Wingdings 2" w:eastAsia="Wingdings 2" w:cs="Wingdings 2"/>
                <w:highlight w:val="none"/>
              </w:rPr>
              <w:t xml:space="preserve">£</w:t>
            </w:r>
            <w:r>
              <w:rPr>
                <w:sz w:val="24"/>
                <w:highlight w:val="none"/>
              </w:rPr>
              <w:t xml:space="preserve">有，具体情形：</w:t>
            </w:r>
            <w:r>
              <w:rPr>
                <w:rFonts w:hint="eastAsia"/>
                <w:sz w:val="24"/>
                <w:highlight w:val="none"/>
                <w:u w:val="single"/>
                <w:lang w:val="en-US" w:eastAsia="zh-CN"/>
              </w:rPr>
              <w:t xml:space="preserve"> 无 </w:t>
            </w:r>
            <w:r>
              <w:rPr>
                <w:sz w:val="24"/>
                <w:highlight w:val="none"/>
              </w:rPr>
              <w:t xml:space="preserve">。</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11.1</w:t>
            </w:r>
            <w:r/>
          </w:p>
        </w:tc>
        <w:tc>
          <w:tcPr>
            <w:tcW w:w="935" w:type="pct"/>
            <w:vAlign w:val="center"/>
            <w:textDirection w:val="lrTb"/>
            <w:noWrap w:val="false"/>
          </w:tcPr>
          <w:p>
            <w:pPr>
              <w:jc w:val="center"/>
              <w:spacing w:line="360" w:lineRule="auto"/>
              <w:rPr>
                <w:sz w:val="24"/>
                <w:highlight w:val="none"/>
              </w:rPr>
            </w:pPr>
            <w:r>
              <w:rPr>
                <w:sz w:val="24"/>
                <w:highlight w:val="none"/>
              </w:rPr>
              <w:t xml:space="preserve">磋商保证金</w:t>
            </w:r>
            <w:r/>
          </w:p>
        </w:tc>
        <w:tc>
          <w:tcPr>
            <w:tcW w:w="3491" w:type="pct"/>
            <w:vAlign w:val="center"/>
            <w:textDirection w:val="lrTb"/>
            <w:noWrap w:val="false"/>
          </w:tcPr>
          <w:p>
            <w:pPr>
              <w:jc w:val="left"/>
              <w:spacing w:line="360" w:lineRule="auto"/>
              <w:rPr>
                <w:sz w:val="24"/>
                <w:highlight w:val="none"/>
              </w:rPr>
            </w:pPr>
            <w:r>
              <w:rPr>
                <w:rFonts w:hint="eastAsia"/>
                <w:sz w:val="24"/>
                <w:highlight w:val="none"/>
              </w:rPr>
              <w:t xml:space="preserve">免收</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12.1</w:t>
            </w:r>
            <w:r/>
          </w:p>
        </w:tc>
        <w:tc>
          <w:tcPr>
            <w:tcW w:w="935" w:type="pct"/>
            <w:vAlign w:val="center"/>
            <w:textDirection w:val="lrTb"/>
            <w:noWrap w:val="false"/>
          </w:tcPr>
          <w:p>
            <w:pPr>
              <w:jc w:val="center"/>
              <w:spacing w:line="360" w:lineRule="auto"/>
              <w:rPr>
                <w:sz w:val="24"/>
                <w:highlight w:val="none"/>
              </w:rPr>
            </w:pPr>
            <w:r>
              <w:rPr>
                <w:sz w:val="24"/>
                <w:highlight w:val="none"/>
              </w:rPr>
              <w:t xml:space="preserve">响应有效期</w:t>
            </w:r>
            <w:r/>
          </w:p>
        </w:tc>
        <w:tc>
          <w:tcPr>
            <w:tcW w:w="3491" w:type="pct"/>
            <w:vAlign w:val="center"/>
            <w:textDirection w:val="lrTb"/>
            <w:noWrap w:val="false"/>
          </w:tcPr>
          <w:p>
            <w:pPr>
              <w:jc w:val="left"/>
              <w:spacing w:line="360" w:lineRule="auto"/>
              <w:rPr>
                <w:sz w:val="24"/>
                <w:highlight w:val="none"/>
              </w:rPr>
            </w:pPr>
            <w:r>
              <w:rPr>
                <w:sz w:val="24"/>
                <w:highlight w:val="none"/>
              </w:rPr>
              <w:t xml:space="preserve">自提交响应文件的截止之日起算</w:t>
            </w:r>
            <w:r>
              <w:rPr>
                <w:rFonts w:hint="eastAsia"/>
                <w:sz w:val="24"/>
                <w:highlight w:val="none"/>
                <w:u w:val="single"/>
                <w:lang w:val="en-US" w:eastAsia="zh-CN"/>
              </w:rPr>
              <w:t xml:space="preserve"> 60 </w:t>
            </w:r>
            <w:r>
              <w:rPr>
                <w:sz w:val="24"/>
                <w:highlight w:val="none"/>
              </w:rPr>
              <w:t xml:space="preserve">日历天。</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23.5</w:t>
            </w:r>
            <w:r/>
          </w:p>
        </w:tc>
        <w:tc>
          <w:tcPr>
            <w:tcW w:w="935" w:type="pct"/>
            <w:vAlign w:val="center"/>
            <w:textDirection w:val="lrTb"/>
            <w:noWrap w:val="false"/>
          </w:tcPr>
          <w:p>
            <w:pPr>
              <w:jc w:val="center"/>
              <w:spacing w:line="360" w:lineRule="auto"/>
              <w:rPr>
                <w:sz w:val="24"/>
                <w:highlight w:val="none"/>
              </w:rPr>
            </w:pPr>
            <w:r>
              <w:rPr>
                <w:sz w:val="24"/>
                <w:highlight w:val="none"/>
              </w:rPr>
              <w:t xml:space="preserve">分包</w:t>
            </w:r>
            <w:r/>
          </w:p>
        </w:tc>
        <w:tc>
          <w:tcPr>
            <w:tcW w:w="3491" w:type="pct"/>
            <w:vAlign w:val="center"/>
            <w:textDirection w:val="lrTb"/>
            <w:noWrap w:val="false"/>
          </w:tcPr>
          <w:p>
            <w:pPr>
              <w:jc w:val="left"/>
              <w:spacing w:line="360" w:lineRule="auto"/>
              <w:rPr>
                <w:sz w:val="24"/>
                <w:highlight w:val="none"/>
                <w:u w:val="single"/>
              </w:rPr>
            </w:pPr>
            <w:r>
              <w:rPr>
                <w:sz w:val="24"/>
                <w:highlight w:val="none"/>
              </w:rPr>
              <w:t xml:space="preserve">本项目是否允许分包： </w:t>
            </w:r>
            <w:r>
              <w:rPr>
                <w:rFonts w:ascii="Times New Roman" w:hAnsi="Times New Roman" w:cs="Times New Roman"/>
                <w:color w:val="auto"/>
                <w:sz w:val="32"/>
                <w:szCs w:val="32"/>
                <w:highlight w:val="none"/>
              </w:rPr>
              <w:t xml:space="preserve">■</w:t>
            </w:r>
            <w:r>
              <w:rPr>
                <w:sz w:val="24"/>
                <w:highlight w:val="none"/>
              </w:rPr>
              <w:t xml:space="preserve">不允许</w:t>
            </w:r>
            <w:r>
              <w:rPr>
                <w:rFonts w:hint="eastAsia"/>
                <w:sz w:val="24"/>
                <w:highlight w:val="none"/>
                <w:lang w:val="en-US" w:eastAsia="zh-CN"/>
              </w:rPr>
              <w:t xml:space="preserve">  </w:t>
            </w:r>
            <w:r>
              <w:rPr>
                <w:rFonts w:ascii="Wingdings 2" w:hAnsi="Wingdings 2" w:eastAsia="Wingdings 2" w:cs="Wingdings 2"/>
                <w:highlight w:val="none"/>
              </w:rPr>
              <w:t xml:space="preserve">£</w:t>
            </w:r>
            <w:r>
              <w:rPr>
                <w:sz w:val="24"/>
                <w:highlight w:val="none"/>
              </w:rPr>
              <w:t xml:space="preserve">允许</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24.1</w:t>
            </w:r>
            <w:r/>
          </w:p>
        </w:tc>
        <w:tc>
          <w:tcPr>
            <w:tcW w:w="935" w:type="pct"/>
            <w:vAlign w:val="center"/>
            <w:textDirection w:val="lrTb"/>
            <w:noWrap w:val="false"/>
          </w:tcPr>
          <w:p>
            <w:pPr>
              <w:jc w:val="center"/>
              <w:spacing w:line="360" w:lineRule="auto"/>
              <w:rPr>
                <w:sz w:val="24"/>
                <w:highlight w:val="none"/>
              </w:rPr>
            </w:pPr>
            <w:r>
              <w:rPr>
                <w:sz w:val="24"/>
                <w:highlight w:val="none"/>
              </w:rPr>
              <w:t xml:space="preserve">询问</w:t>
            </w:r>
            <w:r/>
          </w:p>
        </w:tc>
        <w:tc>
          <w:tcPr>
            <w:tcW w:w="3491" w:type="pct"/>
            <w:vAlign w:val="center"/>
            <w:textDirection w:val="lrTb"/>
            <w:noWrap w:val="false"/>
          </w:tcPr>
          <w:p>
            <w:pPr>
              <w:jc w:val="left"/>
              <w:spacing w:line="360" w:lineRule="auto"/>
              <w:rPr>
                <w:sz w:val="24"/>
                <w:highlight w:val="none"/>
              </w:rPr>
            </w:pPr>
            <w:r>
              <w:rPr>
                <w:sz w:val="24"/>
                <w:highlight w:val="none"/>
              </w:rPr>
              <w:t xml:space="preserve">询问送达形式：</w:t>
            </w:r>
            <w:r>
              <w:rPr>
                <w:rFonts w:hint="eastAsia"/>
                <w:sz w:val="24"/>
                <w:highlight w:val="none"/>
                <w:lang w:val="en-US" w:eastAsia="zh-CN"/>
              </w:rPr>
              <w:t xml:space="preserve">纸质书面送达</w:t>
            </w:r>
            <w:r>
              <w:rPr>
                <w:sz w:val="24"/>
                <w:highlight w:val="none"/>
              </w:rPr>
              <w:t xml:space="preserve">。</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24.3</w:t>
            </w:r>
            <w:r/>
          </w:p>
        </w:tc>
        <w:tc>
          <w:tcPr>
            <w:tcW w:w="935" w:type="pct"/>
            <w:vAlign w:val="center"/>
            <w:textDirection w:val="lrTb"/>
            <w:noWrap w:val="false"/>
          </w:tcPr>
          <w:p>
            <w:pPr>
              <w:jc w:val="center"/>
              <w:spacing w:line="360" w:lineRule="auto"/>
              <w:rPr>
                <w:sz w:val="24"/>
                <w:highlight w:val="none"/>
              </w:rPr>
            </w:pPr>
            <w:r>
              <w:rPr>
                <w:sz w:val="24"/>
                <w:highlight w:val="none"/>
              </w:rPr>
              <w:t xml:space="preserve">联系方式</w:t>
            </w:r>
            <w:r/>
          </w:p>
        </w:tc>
        <w:tc>
          <w:tcPr>
            <w:tcW w:w="3491" w:type="pct"/>
            <w:vAlign w:val="center"/>
            <w:textDirection w:val="lrTb"/>
            <w:noWrap w:val="false"/>
          </w:tcPr>
          <w:p>
            <w:pPr>
              <w:jc w:val="left"/>
              <w:spacing w:line="360" w:lineRule="auto"/>
              <w:rPr>
                <w:sz w:val="24"/>
                <w:highlight w:val="none"/>
              </w:rPr>
            </w:pPr>
            <w:r>
              <w:rPr>
                <w:sz w:val="24"/>
                <w:highlight w:val="none"/>
              </w:rPr>
              <w:t xml:space="preserve">接收询问和质疑的联系方式</w:t>
            </w:r>
            <w:r/>
          </w:p>
          <w:p>
            <w:pPr>
              <w:jc w:val="left"/>
              <w:spacing w:line="360" w:lineRule="auto"/>
              <w:rPr>
                <w:sz w:val="24"/>
                <w:highlight w:val="none"/>
              </w:rPr>
            </w:pPr>
            <w:r>
              <w:rPr>
                <w:sz w:val="24"/>
                <w:highlight w:val="none"/>
              </w:rPr>
              <w:t xml:space="preserve">联系部门：</w:t>
            </w:r>
            <w:r>
              <w:rPr>
                <w:rFonts w:hint="eastAsia"/>
                <w:sz w:val="24"/>
                <w:highlight w:val="none"/>
                <w:lang w:val="en-US" w:eastAsia="zh-CN"/>
              </w:rPr>
              <w:t xml:space="preserve">溧阳市天曌项目管理有限公司</w:t>
            </w:r>
            <w:r>
              <w:rPr>
                <w:sz w:val="24"/>
                <w:highlight w:val="none"/>
              </w:rPr>
              <w:t xml:space="preserve">；</w:t>
            </w:r>
            <w:r/>
          </w:p>
          <w:p>
            <w:pPr>
              <w:jc w:val="left"/>
              <w:spacing w:line="360" w:lineRule="auto"/>
              <w:rPr>
                <w:sz w:val="24"/>
                <w:highlight w:val="none"/>
              </w:rPr>
            </w:pPr>
            <w:r>
              <w:rPr>
                <w:sz w:val="24"/>
                <w:highlight w:val="none"/>
              </w:rPr>
              <w:t xml:space="preserve">联系电话：</w:t>
            </w:r>
            <w:r>
              <w:rPr>
                <w:rFonts w:hint="eastAsia"/>
                <w:sz w:val="24"/>
                <w:highlight w:val="none"/>
                <w:lang w:val="en-US" w:eastAsia="zh-CN"/>
              </w:rPr>
              <w:t xml:space="preserve">0519-87337776</w:t>
            </w:r>
            <w:r>
              <w:rPr>
                <w:sz w:val="24"/>
                <w:highlight w:val="none"/>
              </w:rPr>
              <w:t xml:space="preserve">；</w:t>
            </w:r>
            <w:r/>
          </w:p>
          <w:p>
            <w:pPr>
              <w:jc w:val="left"/>
              <w:spacing w:line="360" w:lineRule="auto"/>
              <w:rPr>
                <w:sz w:val="24"/>
                <w:highlight w:val="none"/>
              </w:rPr>
            </w:pPr>
            <w:r>
              <w:rPr>
                <w:sz w:val="24"/>
                <w:highlight w:val="none"/>
              </w:rPr>
              <w:t xml:space="preserve">通讯地址：</w:t>
            </w:r>
            <w:r>
              <w:rPr>
                <w:rFonts w:hint="eastAsia"/>
                <w:sz w:val="24"/>
                <w:highlight w:val="none"/>
                <w:lang w:eastAsia="zh-CN"/>
              </w:rPr>
              <w:t xml:space="preserve">溧阳市古县街道溪缘东路2号8807室</w:t>
            </w:r>
            <w:r>
              <w:rPr>
                <w:sz w:val="24"/>
                <w:highlight w:val="none"/>
              </w:rPr>
              <w:t xml:space="preserve">。</w:t>
            </w:r>
            <w:r/>
          </w:p>
        </w:tc>
      </w:tr>
      <w:tr>
        <w:trPr>
          <w:jc w:val="center"/>
          <w:trHeight w:val="850"/>
        </w:trPr>
        <w:tc>
          <w:tcPr>
            <w:tcW w:w="573" w:type="pct"/>
            <w:vAlign w:val="center"/>
            <w:textDirection w:val="lrTb"/>
            <w:noWrap w:val="false"/>
          </w:tcPr>
          <w:p>
            <w:pPr>
              <w:pStyle w:val="967"/>
              <w:jc w:val="center"/>
              <w:spacing w:line="360" w:lineRule="auto"/>
              <w:rPr>
                <w:rFonts w:hint="default" w:ascii="Times New Roman" w:hAnsi="Times New Roman"/>
                <w:sz w:val="24"/>
                <w:szCs w:val="24"/>
                <w:highlight w:val="none"/>
              </w:rPr>
            </w:pPr>
            <w:r>
              <w:rPr>
                <w:rFonts w:hint="default" w:ascii="Times New Roman" w:hAnsi="Times New Roman"/>
                <w:sz w:val="24"/>
                <w:szCs w:val="24"/>
                <w:highlight w:val="none"/>
              </w:rPr>
              <w:t xml:space="preserve">25</w:t>
            </w:r>
            <w:r/>
          </w:p>
        </w:tc>
        <w:tc>
          <w:tcPr>
            <w:tcW w:w="935" w:type="pct"/>
            <w:vAlign w:val="center"/>
            <w:textDirection w:val="lrTb"/>
            <w:noWrap w:val="false"/>
          </w:tcPr>
          <w:p>
            <w:pPr>
              <w:jc w:val="center"/>
              <w:spacing w:line="360" w:lineRule="auto"/>
              <w:rPr>
                <w:sz w:val="24"/>
                <w:highlight w:val="none"/>
              </w:rPr>
            </w:pPr>
            <w:r>
              <w:rPr>
                <w:sz w:val="24"/>
                <w:highlight w:val="none"/>
              </w:rPr>
              <w:t xml:space="preserve">代理费</w:t>
            </w:r>
            <w:r/>
          </w:p>
        </w:tc>
        <w:tc>
          <w:tcPr>
            <w:tcW w:w="3491" w:type="pct"/>
            <w:vAlign w:val="center"/>
            <w:textDirection w:val="lrTb"/>
            <w:noWrap w:val="false"/>
          </w:tcPr>
          <w:p>
            <w:pPr>
              <w:jc w:val="left"/>
              <w:spacing w:line="360" w:lineRule="auto"/>
              <w:rPr>
                <w:sz w:val="24"/>
                <w:highlight w:val="none"/>
              </w:rPr>
            </w:pPr>
            <w:r>
              <w:rPr>
                <w:sz w:val="24"/>
                <w:highlight w:val="none"/>
              </w:rPr>
              <w:t xml:space="preserve">收费对象：</w:t>
            </w:r>
            <w:r>
              <w:rPr>
                <w:rFonts w:ascii="Wingdings 2" w:hAnsi="Wingdings 2" w:eastAsia="Wingdings 2" w:cs="Wingdings 2"/>
                <w:highlight w:val="none"/>
              </w:rPr>
              <w:t xml:space="preserve">£</w:t>
            </w:r>
            <w:r>
              <w:rPr>
                <w:sz w:val="24"/>
                <w:highlight w:val="none"/>
              </w:rPr>
              <w:t xml:space="preserve">采购人</w:t>
            </w:r>
            <w:r>
              <w:rPr>
                <w:rFonts w:hint="eastAsia"/>
                <w:sz w:val="24"/>
                <w:highlight w:val="none"/>
                <w:lang w:val="en-US" w:eastAsia="zh-CN"/>
              </w:rPr>
              <w:t xml:space="preserve">  </w:t>
            </w:r>
            <w:r>
              <w:rPr>
                <w:rFonts w:ascii="Times New Roman" w:hAnsi="Times New Roman" w:cs="Times New Roman"/>
                <w:color w:val="auto"/>
                <w:sz w:val="32"/>
                <w:szCs w:val="32"/>
                <w:highlight w:val="none"/>
              </w:rPr>
              <w:t xml:space="preserve">■</w:t>
            </w:r>
            <w:r>
              <w:rPr>
                <w:sz w:val="24"/>
                <w:highlight w:val="none"/>
              </w:rPr>
              <w:t xml:space="preserve">成交供应商</w:t>
            </w:r>
            <w:r/>
          </w:p>
          <w:p>
            <w:pPr>
              <w:jc w:val="left"/>
              <w:spacing w:line="360" w:lineRule="auto"/>
              <w:rPr>
                <w:rFonts w:hint="eastAsia"/>
                <w:sz w:val="24"/>
                <w:highlight w:val="none"/>
              </w:rPr>
            </w:pPr>
            <w:r>
              <w:rPr>
                <w:rFonts w:hint="eastAsia"/>
                <w:sz w:val="24"/>
                <w:highlight w:val="none"/>
              </w:rPr>
              <w:t xml:space="preserve">收费标准：根据国家发展改革委员会发改价格(2015)299号文件精神，代理服务费按苏招协（2022）002号文及苏建价协（2022）7号计取；</w:t>
            </w:r>
            <w:r/>
          </w:p>
          <w:p>
            <w:pPr>
              <w:jc w:val="left"/>
              <w:spacing w:line="360" w:lineRule="auto"/>
              <w:rPr>
                <w:sz w:val="24"/>
                <w:highlight w:val="none"/>
              </w:rPr>
            </w:pPr>
            <w:r>
              <w:rPr>
                <w:rFonts w:hint="eastAsia"/>
                <w:sz w:val="24"/>
                <w:highlight w:val="none"/>
              </w:rPr>
              <w:t xml:space="preserve">缴纳时间：领取成交通知书的同时。</w:t>
            </w:r>
            <w:r/>
          </w:p>
        </w:tc>
      </w:tr>
    </w:tbl>
    <w:p>
      <w:pPr>
        <w:jc w:val="both"/>
        <w:spacing w:line="360" w:lineRule="auto"/>
        <w:tabs>
          <w:tab w:val="left" w:pos="5580" w:leader="none"/>
        </w:tabs>
        <w:rPr>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highlight w:val="none"/>
        </w:rPr>
      </w:r>
      <w:r/>
    </w:p>
    <w:p>
      <w:pPr>
        <w:jc w:val="center"/>
        <w:spacing w:before="240" w:after="240" w:line="360" w:lineRule="auto"/>
        <w:rPr>
          <w:b/>
          <w:sz w:val="28"/>
          <w:szCs w:val="28"/>
          <w:highlight w:val="none"/>
        </w:rPr>
      </w:pPr>
      <w:r>
        <w:rPr>
          <w:b/>
          <w:sz w:val="28"/>
          <w:szCs w:val="28"/>
          <w:highlight w:val="none"/>
        </w:rPr>
        <w:t xml:space="preserve">供应商须知</w:t>
      </w:r>
      <w:r/>
    </w:p>
    <w:p>
      <w:pPr>
        <w:pStyle w:val="961"/>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520356143"/>
      <w:r/>
      <w:bookmarkStart w:id="73" w:name="_Toc127151518"/>
      <w:r>
        <w:rPr>
          <w:rFonts w:ascii="Times New Roman" w:hAnsi="Times New Roman" w:eastAsia="宋体"/>
          <w:sz w:val="28"/>
          <w:highlight w:val="none"/>
        </w:rPr>
        <w:tab/>
      </w:r>
      <w:bookmarkStart w:id="74" w:name="_Toc264969208"/>
      <w:r/>
      <w:bookmarkStart w:id="75" w:name="_Toc151193688"/>
      <w:r/>
      <w:bookmarkStart w:id="76" w:name="_Toc142311020"/>
      <w:r/>
      <w:bookmarkStart w:id="77" w:name="_Toc151193832"/>
      <w:r/>
      <w:bookmarkStart w:id="78" w:name="_Toc305158786"/>
      <w:r/>
      <w:bookmarkStart w:id="79" w:name="_Toc150509269"/>
      <w:r/>
      <w:bookmarkStart w:id="80" w:name="_Toc265228356"/>
      <w:r/>
      <w:bookmarkStart w:id="81" w:name="_Toc195842883"/>
      <w:r/>
      <w:bookmarkStart w:id="82" w:name="_Toc151193616"/>
      <w:r/>
      <w:bookmarkStart w:id="83" w:name="_Toc226965708"/>
      <w:r/>
      <w:bookmarkStart w:id="84" w:name="_Toc151193760"/>
      <w:r/>
      <w:bookmarkStart w:id="85" w:name="_Toc226965791"/>
      <w:r/>
      <w:bookmarkStart w:id="86" w:name="_Toc151190145"/>
      <w:r/>
      <w:bookmarkStart w:id="87" w:name="_Toc150774618"/>
      <w:r/>
      <w:bookmarkStart w:id="88" w:name="_Toc151193906"/>
      <w:r/>
      <w:bookmarkStart w:id="89" w:name="_Toc226337214"/>
      <w:r/>
      <w:bookmarkStart w:id="90" w:name="_Toc226309762"/>
      <w:r/>
      <w:bookmarkStart w:id="91" w:name="_Toc150774723"/>
      <w:r/>
      <w:bookmarkStart w:id="92" w:name="_Toc150480756"/>
      <w:r/>
      <w:bookmarkStart w:id="93" w:name="_Toc305158860"/>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p>
    <w:p>
      <w:pPr>
        <w:numPr>
          <w:ilvl w:val="0"/>
          <w:numId w:val="0"/>
        </w:numPr>
        <w:spacing w:line="360" w:lineRule="auto"/>
        <w:tabs>
          <w:tab w:val="left" w:pos="1080" w:leader="none"/>
          <w:tab w:val="left" w:pos="2014" w:leader="none"/>
        </w:tabs>
        <w:rPr>
          <w:rFonts w:hint="eastAsia"/>
          <w:sz w:val="24"/>
          <w:highlight w:val="none"/>
          <w:lang w:val="en-US" w:eastAsia="zh-CN"/>
        </w:rPr>
      </w:pPr>
      <w:r/>
      <w:bookmarkStart w:id="94" w:name="_Toc151193764"/>
      <w:r/>
      <w:bookmarkStart w:id="95" w:name="_Toc226309766"/>
      <w:r/>
      <w:bookmarkStart w:id="96" w:name="_Toc151193910"/>
      <w:r/>
      <w:bookmarkStart w:id="97" w:name="_Toc150774622"/>
      <w:r/>
      <w:bookmarkStart w:id="98" w:name="_Toc305158864"/>
      <w:r/>
      <w:bookmarkStart w:id="99" w:name="_Toc150774727"/>
      <w:r/>
      <w:bookmarkStart w:id="100" w:name="_Toc151193836"/>
      <w:r/>
      <w:bookmarkStart w:id="101" w:name="_Toc226965712"/>
      <w:r/>
      <w:bookmarkStart w:id="102" w:name="_Toc150509273"/>
      <w:r/>
      <w:bookmarkStart w:id="103" w:name="_Toc127151522"/>
      <w:r/>
      <w:bookmarkStart w:id="104" w:name="_Toc151193620"/>
      <w:r/>
      <w:bookmarkStart w:id="105" w:name="_Toc226965795"/>
      <w:r/>
      <w:bookmarkStart w:id="106" w:name="_Toc151193692"/>
      <w:r/>
      <w:bookmarkStart w:id="107" w:name="_Toc150480760"/>
      <w:r/>
      <w:bookmarkStart w:id="108" w:name="_Toc305158790"/>
      <w:r/>
      <w:bookmarkStart w:id="109" w:name="_Toc151190149"/>
      <w:r/>
      <w:bookmarkStart w:id="110" w:name="_Toc264969212"/>
      <w:r/>
      <w:bookmarkStart w:id="111" w:name="_Toc142311024"/>
      <w:r/>
      <w:bookmarkStart w:id="112" w:name="_Toc265228360"/>
      <w:r/>
      <w:bookmarkStart w:id="113" w:name="_Toc520356146"/>
      <w:r/>
      <w:bookmarkStart w:id="114" w:name="_Toc195842887"/>
      <w:r/>
      <w:bookmarkStart w:id="115" w:name="_Toc226337218"/>
      <w:r>
        <w:rPr>
          <w:rFonts w:hint="eastAsia"/>
          <w:sz w:val="24"/>
          <w:highlight w:val="none"/>
          <w:lang w:val="en-US" w:eastAsia="zh-CN"/>
        </w:rPr>
        <w:t xml:space="preserve">1  采购人、采购代理机构、供应商、联合体</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1.1采购人、采购代理机构：指依法进行政府采购的国家机关、事业单位、团体组织，及其委托的采购代理机构。本项目采购人、采购代理机构见第一章《磋商公告》。</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1.2供应商（也称“申请人”）：指向采购人提供货物、工程或者服务的法人、其他组织或者自然人。</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1.3联合体：指两个以上的自然人、法人或者其他组织组成一个联合体，以一个供应商的身份共同参加政府采购。</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2  资金来源、项目属性、科研仪器设备采购</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2.1资金来源为财政性资金和本项目采购中无法与财政性资金分割的非财政性资金。</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2.2项目属性见《供应商须知资料表》。</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2.3是否属于科研仪器设备采购见《供应商须知资料表》。</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3  现场考察、磋商前答疑会</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3.1若《供应商须知资料表》中规定了组织现场考察、召开磋商前答疑会，则供应商应按要求在规定的时间和地点参加。</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3.2由于未参加现场考察或磋商前答疑会而导致对项目实际情况不了解，影响响应文件编制、报价准确性、综合因素响应不全面等问题的，由供应商自行承担不利评审后果。</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  政府采购政策（包括但不限于下列具体政策要求）</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4.1进口产品</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4.2中小企业、监狱企业及残疾人福利性单位</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4.2.1中小企业定义：中小企业是</w:t>
      </w:r>
      <w:r>
        <w:rPr>
          <w:rFonts w:hint="eastAsia"/>
          <w:sz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4.2.1.2供应商提供的货物、工程或者服务符合下列情形的，享受中小企业扶持政策：</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（1）在货物采购项目中，货物由中小企业制造，即货物由中小企业生产且使用该中小企业商号或者注册商标；</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（2）在工程采购项目中，工程由中小企业承建，即工程施工单位为中小企业；</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（3）在服务采购项目中，服务由中小企业承接，即提供服务的人员为中小企业依照《中华人民共和国劳动合同法》订立劳动合同的从业人员。</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4.2.1.3在货物采购项目中，供应商提供的货物既有中小企业制造货物，也有大型企业制造货物的，不享受中小企业扶持政策。</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4.2.1.4以联合体形式参加政府采购活动，联合体各方均为中小企业的，联合体视同中小企业。其中，联合体各方均为小微企业的，联合体视同小微企业。</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4.2.3残疾人福利单位定义：享受政府采购支持政策的残疾人福利性单位应当同时满足以下条件：</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4.2.3.1安置的残疾人占本单位在职职工人数的比例不低于25%（含25%），并且安置的残疾人人数不少于10 人（含10 人）；</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4.2.3.2依法与安置的每位残疾人签订了一年以上（含一年）的劳动合同或服务协议；</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4.2.3.3为安置的每位残疾人按月足额缴纳了基本养老保险、基本医疗保险、失业保险、工伤保险和生育保险等社会保险费；</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4.2.3.4通过银行等金融机构向安置的每位残疾人，按月支付了不低于单位所在区县适用的经省级人民政府批准的月最低工资标准的工资；</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4.2.3.5提供本单位制造的货物、承担的工程或者服务（以下简称产品），或者提供其他残疾人福利性单位制造的货物（不包括使用非残疾人福利性单位注册商标的货物）；</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4.2.4本项目是否专门面向中小企业预留采购份额见第一章《磋商公告》。</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4.2.5采购标的对应的中小企业划分标准所属行业见《供应商须知资料表》。</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4.2.6小微企业价格评审优惠的政策调整：见第三章《评审方法和评审标准》。</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4.3政府采购节能产品、环境标志产品</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4.3.3如本项目采购产品属于实施政府强制采购品目清单范围的节能产品，则供应商所报产品必须获得国家确定的认证机构出具的、处于有效期之内的节能产品认证证书，否则响应无效；</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4.3.4非政府强制采购的节能产品或环境标志产品，依据品目清单和认证证书实施政府优先采购。优先采购的具体规定见第三章《评审方法和评审标准》（如涉及）。</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4.4支持乡村产业振兴管理</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4.5正版软件</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sz w:val="24"/>
          <w:highlight w:val="none"/>
          <w:lang w:val="en-US" w:eastAsia="zh-CN"/>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4.6信息安全产品</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4.6.1所投产品属于《关于调整信息安全产品强制性认证实施要求的公告》（2009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4.7政府采购创新产品政策</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0"/>
        </w:numPr>
        <w:spacing w:line="360" w:lineRule="auto"/>
        <w:tabs>
          <w:tab w:val="left" w:pos="1080" w:leader="none"/>
          <w:tab w:val="left" w:pos="2014" w:leader="none"/>
        </w:tabs>
        <w:rPr>
          <w:rFonts w:hint="eastAsia"/>
          <w:sz w:val="24"/>
          <w:highlight w:val="none"/>
          <w:lang w:val="en-US" w:eastAsia="zh-CN"/>
        </w:rPr>
      </w:pPr>
      <w:r>
        <w:rPr>
          <w:rFonts w:hint="eastAsia"/>
          <w:sz w:val="24"/>
          <w:highlight w:val="none"/>
          <w:lang w:val="en-US" w:eastAsia="zh-CN"/>
        </w:rPr>
        <w:t xml:space="preserve">5  响应费用</w:t>
      </w:r>
      <w:r/>
    </w:p>
    <w:p>
      <w:pPr>
        <w:numPr>
          <w:ilvl w:val="0"/>
          <w:numId w:val="0"/>
        </w:numPr>
        <w:spacing w:line="360" w:lineRule="auto"/>
        <w:tabs>
          <w:tab w:val="left" w:pos="1080" w:leader="none"/>
          <w:tab w:val="left" w:pos="2014" w:leader="none"/>
        </w:tabs>
        <w:rPr>
          <w:sz w:val="24"/>
          <w:highlight w:val="none"/>
        </w:rPr>
      </w:pPr>
      <w:r>
        <w:rPr>
          <w:rFonts w:hint="eastAsia"/>
          <w:sz w:val="24"/>
          <w:highlight w:val="none"/>
          <w:lang w:val="en-US" w:eastAsia="zh-CN"/>
        </w:rPr>
        <w:t xml:space="preserve">5.1供应商应自行承担所有与准备和参加磋商有关的费用，无论磋商的结果如何，采购人或采购代理机构在任何情况下均无承担这些费用的义务和责任。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16" w:name="_1.8_计量单位"/>
      <w:r/>
      <w:bookmarkEnd w:id="116"/>
      <w:r/>
      <w:r/>
    </w:p>
    <w:p>
      <w:pPr>
        <w:ind w:left="1080"/>
        <w:spacing w:line="360" w:lineRule="auto"/>
        <w:tabs>
          <w:tab w:val="left" w:pos="1080" w:leader="none"/>
        </w:tabs>
        <w:rPr>
          <w:sz w:val="28"/>
          <w:highlight w:val="none"/>
        </w:rPr>
      </w:pPr>
      <w:r>
        <w:rPr>
          <w:sz w:val="28"/>
          <w:highlight w:val="none"/>
        </w:rPr>
      </w:r>
      <w:r/>
    </w:p>
    <w:p>
      <w:pPr>
        <w:spacing w:line="360" w:lineRule="auto"/>
        <w:tabs>
          <w:tab w:val="left" w:pos="1080" w:leader="none"/>
        </w:tabs>
        <w:rPr>
          <w:sz w:val="28"/>
          <w:highlight w:val="none"/>
        </w:rPr>
      </w:pPr>
      <w:r>
        <w:rPr>
          <w:sz w:val="28"/>
          <w:highlight w:val="none"/>
        </w:rPr>
      </w:r>
      <w:r/>
    </w:p>
    <w:p>
      <w:pPr>
        <w:pStyle w:val="96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numPr>
          <w:ilvl w:val="0"/>
          <w:numId w:val="0"/>
        </w:numPr>
        <w:spacing w:line="360" w:lineRule="auto"/>
        <w:tabs>
          <w:tab w:val="left" w:pos="360" w:leader="none"/>
        </w:tabs>
        <w:rPr>
          <w:color w:val="auto"/>
          <w:sz w:val="24"/>
          <w:highlight w:val="none"/>
        </w:rPr>
        <w:outlineLvl w:val="1"/>
      </w:pPr>
      <w:r/>
      <w:bookmarkStart w:id="117" w:name="_Toc151193911"/>
      <w:r/>
      <w:bookmarkStart w:id="118" w:name="_Toc150774728"/>
      <w:r/>
      <w:bookmarkStart w:id="119" w:name="_Toc520356147"/>
      <w:r/>
      <w:bookmarkStart w:id="120" w:name="_Toc164351617"/>
      <w:r/>
      <w:bookmarkStart w:id="121" w:name="_Toc142311025"/>
      <w:r/>
      <w:bookmarkStart w:id="122" w:name="_Toc151193693"/>
      <w:r/>
      <w:bookmarkStart w:id="123" w:name="_Toc265228361"/>
      <w:r/>
      <w:bookmarkStart w:id="124" w:name="_Toc226965713"/>
      <w:r/>
      <w:bookmarkStart w:id="125" w:name="_Toc226337219"/>
      <w:r/>
      <w:bookmarkStart w:id="126" w:name="_Toc226309767"/>
      <w:r/>
      <w:bookmarkStart w:id="127" w:name="_Toc127161437"/>
      <w:r/>
      <w:bookmarkStart w:id="128" w:name="_Toc127151724"/>
      <w:r/>
      <w:bookmarkStart w:id="129" w:name="_Toc149720816"/>
      <w:r/>
      <w:bookmarkStart w:id="130" w:name="_Toc150509274"/>
      <w:r/>
      <w:bookmarkStart w:id="131" w:name="_Toc150774623"/>
      <w:r/>
      <w:bookmarkStart w:id="132" w:name="_Toc164608637"/>
      <w:r/>
      <w:bookmarkStart w:id="133" w:name="_Toc164229218"/>
      <w:r/>
      <w:bookmarkStart w:id="134" w:name="_Toc151193837"/>
      <w:r/>
      <w:bookmarkStart w:id="135" w:name="_Toc127151523"/>
      <w:r/>
      <w:bookmarkStart w:id="136" w:name="_Toc164608792"/>
      <w:r/>
      <w:bookmarkStart w:id="137" w:name="_Toc151193621"/>
      <w:r/>
      <w:bookmarkStart w:id="138" w:name="_Toc164229364"/>
      <w:r/>
      <w:bookmarkStart w:id="139" w:name="_Toc305158865"/>
      <w:r/>
      <w:bookmarkStart w:id="140" w:name="_Toc151190150"/>
      <w:r/>
      <w:bookmarkStart w:id="141" w:name="_Toc151193765"/>
      <w:r/>
      <w:bookmarkStart w:id="142" w:name="_Toc226965796"/>
      <w:r/>
      <w:bookmarkStart w:id="143" w:name="_Toc264969213"/>
      <w:r/>
      <w:bookmarkStart w:id="144" w:name="_Toc195842888"/>
      <w:r/>
      <w:bookmarkStart w:id="145" w:name="_Toc305158791"/>
      <w:r/>
      <w:bookmarkStart w:id="146" w:name="_Toc150480761"/>
      <w:r>
        <w:rPr>
          <w:rFonts w:hint="eastAsia"/>
          <w:color w:val="auto"/>
          <w:sz w:val="24"/>
          <w:highlight w:val="none"/>
          <w:lang w:val="en-US" w:eastAsia="zh-CN"/>
        </w:rPr>
        <w:t xml:space="preserve">6  </w:t>
      </w:r>
      <w:r>
        <w:rPr>
          <w:color w:val="auto"/>
          <w:sz w:val="24"/>
          <w:highlight w:val="none"/>
        </w:rPr>
        <w:t xml:space="preserve">竞争性磋商文件构</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color w:val="auto"/>
          <w:sz w:val="24"/>
          <w:highlight w:val="none"/>
        </w:rPr>
        <w:t xml:space="preserve">成</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6.1</w:t>
      </w:r>
      <w:r>
        <w:rPr>
          <w:color w:val="auto"/>
          <w:sz w:val="24"/>
          <w:highlight w:val="none"/>
        </w:rPr>
        <w:t xml:space="preserve">竞争性磋商文件包括以下部分：</w:t>
      </w:r>
      <w:r/>
    </w:p>
    <w:p>
      <w:pPr>
        <w:numPr>
          <w:ilvl w:val="0"/>
          <w:numId w:val="0"/>
        </w:numPr>
        <w:ind w:firstLine="480"/>
        <w:spacing w:line="360" w:lineRule="auto"/>
        <w:tabs>
          <w:tab w:val="left" w:pos="1980" w:leader="none"/>
          <w:tab w:val="left" w:pos="2520" w:leader="none"/>
        </w:tabs>
        <w:rPr>
          <w:color w:val="auto"/>
          <w:sz w:val="24"/>
          <w:highlight w:val="none"/>
        </w:rPr>
      </w:pPr>
      <w:r>
        <w:rPr>
          <w:rFonts w:hint="eastAsia"/>
          <w:color w:val="auto"/>
          <w:sz w:val="24"/>
          <w:highlight w:val="none"/>
          <w:lang w:val="en-US" w:eastAsia="zh-CN"/>
        </w:rPr>
        <w:t xml:space="preserve">第一章  </w:t>
      </w:r>
      <w:r>
        <w:rPr>
          <w:rFonts w:hint="eastAsia"/>
          <w:color w:val="auto"/>
          <w:sz w:val="24"/>
          <w:highlight w:val="none"/>
        </w:rPr>
        <w:t xml:space="preserve">磋商公告</w:t>
      </w:r>
      <w:r/>
    </w:p>
    <w:p>
      <w:pPr>
        <w:numPr>
          <w:ilvl w:val="0"/>
          <w:numId w:val="0"/>
        </w:numPr>
        <w:ind w:firstLine="480"/>
        <w:spacing w:line="360" w:lineRule="auto"/>
        <w:tabs>
          <w:tab w:val="left" w:pos="1980" w:leader="none"/>
          <w:tab w:val="left" w:pos="2520" w:leader="none"/>
        </w:tabs>
        <w:rPr>
          <w:color w:val="auto"/>
          <w:sz w:val="24"/>
          <w:highlight w:val="none"/>
        </w:rPr>
      </w:pPr>
      <w:r>
        <w:rPr>
          <w:rFonts w:hint="eastAsia"/>
          <w:color w:val="auto"/>
          <w:sz w:val="24"/>
          <w:highlight w:val="none"/>
          <w:lang w:val="en-US" w:eastAsia="zh-CN"/>
        </w:rPr>
        <w:t xml:space="preserve">第二章  </w:t>
      </w:r>
      <w:r>
        <w:rPr>
          <w:color w:val="auto"/>
          <w:sz w:val="24"/>
          <w:highlight w:val="none"/>
        </w:rPr>
        <w:t xml:space="preserve">供应商须知</w:t>
      </w:r>
      <w:r/>
    </w:p>
    <w:p>
      <w:pPr>
        <w:numPr>
          <w:ilvl w:val="0"/>
          <w:numId w:val="0"/>
        </w:numPr>
        <w:ind w:firstLine="480"/>
        <w:spacing w:line="360" w:lineRule="auto"/>
        <w:tabs>
          <w:tab w:val="left" w:pos="1980" w:leader="none"/>
          <w:tab w:val="left" w:pos="2520" w:leader="none"/>
        </w:tabs>
        <w:rPr>
          <w:color w:val="auto"/>
          <w:sz w:val="24"/>
          <w:highlight w:val="none"/>
        </w:rPr>
      </w:pPr>
      <w:r>
        <w:rPr>
          <w:rFonts w:hint="eastAsia"/>
          <w:color w:val="auto"/>
          <w:sz w:val="24"/>
          <w:highlight w:val="none"/>
          <w:lang w:val="en-US" w:eastAsia="zh-CN"/>
        </w:rPr>
        <w:t xml:space="preserve">第三章  </w:t>
      </w: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0"/>
        </w:numPr>
        <w:ind w:firstLine="480"/>
        <w:spacing w:line="360" w:lineRule="auto"/>
        <w:tabs>
          <w:tab w:val="left" w:pos="1980" w:leader="none"/>
          <w:tab w:val="left" w:pos="2520" w:leader="none"/>
        </w:tabs>
        <w:rPr>
          <w:color w:val="auto"/>
          <w:sz w:val="24"/>
          <w:highlight w:val="none"/>
        </w:rPr>
      </w:pPr>
      <w:r>
        <w:rPr>
          <w:rFonts w:hint="eastAsia"/>
          <w:color w:val="auto"/>
          <w:sz w:val="24"/>
          <w:highlight w:val="none"/>
          <w:lang w:val="en-US" w:eastAsia="zh-CN"/>
        </w:rPr>
        <w:t xml:space="preserve">第四章  </w:t>
      </w:r>
      <w:r>
        <w:rPr>
          <w:color w:val="auto"/>
          <w:sz w:val="24"/>
          <w:highlight w:val="none"/>
        </w:rPr>
        <w:t xml:space="preserve">采购需求</w:t>
      </w:r>
      <w:r/>
    </w:p>
    <w:p>
      <w:pPr>
        <w:numPr>
          <w:ilvl w:val="0"/>
          <w:numId w:val="0"/>
        </w:numPr>
        <w:ind w:firstLine="480"/>
        <w:spacing w:line="360" w:lineRule="auto"/>
        <w:tabs>
          <w:tab w:val="left" w:pos="1980" w:leader="none"/>
          <w:tab w:val="left" w:pos="2520" w:leader="none"/>
        </w:tabs>
        <w:rPr>
          <w:color w:val="auto"/>
          <w:sz w:val="24"/>
          <w:highlight w:val="none"/>
        </w:rPr>
      </w:pPr>
      <w:r>
        <w:rPr>
          <w:rFonts w:hint="eastAsia"/>
          <w:color w:val="auto"/>
          <w:sz w:val="24"/>
          <w:highlight w:val="none"/>
          <w:lang w:val="en-US" w:eastAsia="zh-CN"/>
        </w:rPr>
        <w:t xml:space="preserve">第五章  </w:t>
      </w:r>
      <w:r>
        <w:rPr>
          <w:color w:val="auto"/>
          <w:sz w:val="24"/>
          <w:highlight w:val="none"/>
        </w:rPr>
        <w:t xml:space="preserve">合同草案条款</w:t>
      </w:r>
      <w:r/>
    </w:p>
    <w:p>
      <w:pPr>
        <w:numPr>
          <w:ilvl w:val="0"/>
          <w:numId w:val="0"/>
        </w:numPr>
        <w:ind w:firstLine="480"/>
        <w:spacing w:line="360" w:lineRule="auto"/>
        <w:tabs>
          <w:tab w:val="left" w:pos="1980" w:leader="none"/>
          <w:tab w:val="left" w:pos="2520" w:leader="none"/>
        </w:tabs>
        <w:rPr>
          <w:color w:val="auto"/>
          <w:sz w:val="24"/>
          <w:highlight w:val="none"/>
        </w:rPr>
      </w:pPr>
      <w:r>
        <w:rPr>
          <w:rFonts w:hint="eastAsia"/>
          <w:color w:val="auto"/>
          <w:sz w:val="24"/>
          <w:highlight w:val="none"/>
          <w:lang w:val="en-US" w:eastAsia="zh-CN"/>
        </w:rPr>
        <w:t xml:space="preserve">第六章  </w:t>
      </w:r>
      <w:r>
        <w:rPr>
          <w:color w:val="auto"/>
          <w:sz w:val="24"/>
          <w:highlight w:val="none"/>
        </w:rPr>
        <w:t xml:space="preserve">响应文件格式</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6.2</w:t>
      </w: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0"/>
        </w:numPr>
        <w:spacing w:line="360" w:lineRule="auto"/>
        <w:tabs>
          <w:tab w:val="left" w:pos="1080" w:leader="none"/>
          <w:tab w:val="left" w:pos="2014" w:leader="none"/>
        </w:tabs>
        <w:rPr>
          <w:color w:val="auto"/>
          <w:sz w:val="24"/>
          <w:highlight w:val="none"/>
        </w:rPr>
        <w:outlineLvl w:val="1"/>
      </w:pPr>
      <w:r>
        <w:rPr>
          <w:rFonts w:hint="eastAsia"/>
          <w:color w:val="auto"/>
          <w:sz w:val="24"/>
          <w:highlight w:val="none"/>
          <w:lang w:val="en-US" w:eastAsia="zh-CN"/>
        </w:rPr>
        <w:t xml:space="preserve">7  </w:t>
      </w:r>
      <w:r>
        <w:rPr>
          <w:color w:val="auto"/>
          <w:sz w:val="24"/>
          <w:highlight w:val="none"/>
        </w:rPr>
        <w:t xml:space="preserve">对竞争性磋商文件的澄清或修改</w:t>
      </w:r>
      <w:r/>
    </w:p>
    <w:p>
      <w:pPr>
        <w:numPr>
          <w:ilvl w:val="0"/>
          <w:numId w:val="0"/>
        </w:numPr>
        <w:spacing w:line="360" w:lineRule="auto"/>
        <w:tabs>
          <w:tab w:val="left" w:pos="1080" w:leader="none"/>
          <w:tab w:val="left" w:pos="1561" w:leader="none"/>
          <w:tab w:val="left" w:pos="2014" w:leader="none"/>
        </w:tabs>
        <w:rPr>
          <w:color w:val="auto"/>
          <w:sz w:val="24"/>
          <w:highlight w:val="none"/>
        </w:rPr>
      </w:pPr>
      <w:r>
        <w:rPr>
          <w:rFonts w:hint="eastAsia"/>
          <w:color w:val="auto"/>
          <w:sz w:val="24"/>
          <w:highlight w:val="none"/>
          <w:lang w:val="en-US" w:eastAsia="zh-CN"/>
        </w:rPr>
        <w:t xml:space="preserve">7.1</w:t>
      </w: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0"/>
          <w:numId w:val="0"/>
        </w:numPr>
        <w:spacing w:line="360" w:lineRule="auto"/>
        <w:tabs>
          <w:tab w:val="left" w:pos="1080" w:leader="none"/>
          <w:tab w:val="left" w:pos="1561" w:leader="none"/>
          <w:tab w:val="left" w:pos="2014" w:leader="none"/>
        </w:tabs>
        <w:rPr>
          <w:sz w:val="24"/>
          <w:highlight w:val="none"/>
        </w:rPr>
      </w:pPr>
      <w:r>
        <w:rPr>
          <w:rFonts w:hint="eastAsia"/>
          <w:color w:val="auto"/>
          <w:sz w:val="24"/>
          <w:highlight w:val="none"/>
          <w:lang w:val="en-US" w:eastAsia="zh-CN"/>
        </w:rPr>
        <w:t xml:space="preserve">7.2</w:t>
      </w: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rPr>
          <w:sz w:val="24"/>
          <w:highlight w:val="none"/>
        </w:rPr>
        <w:t xml:space="preserve">。</w:t>
      </w:r>
      <w:r/>
    </w:p>
    <w:p>
      <w:pPr>
        <w:ind w:left="1080"/>
        <w:spacing w:line="360" w:lineRule="auto"/>
        <w:tabs>
          <w:tab w:val="left" w:pos="1080" w:leader="none"/>
          <w:tab w:val="left" w:pos="1561" w:leader="none"/>
        </w:tabs>
        <w:rPr>
          <w:sz w:val="28"/>
          <w:highlight w:val="none"/>
        </w:rPr>
      </w:pPr>
      <w:r/>
      <w:bookmarkStart w:id="147" w:name="_Toc516367020"/>
      <w:r/>
      <w:bookmarkStart w:id="148" w:name="_Toc150509277"/>
      <w:r/>
      <w:bookmarkStart w:id="149" w:name="_Toc305158868"/>
      <w:r/>
      <w:bookmarkStart w:id="150" w:name="_Toc305158794"/>
      <w:r/>
      <w:bookmarkStart w:id="151" w:name="_Toc151193840"/>
      <w:r/>
      <w:bookmarkStart w:id="152" w:name="_Toc195842891"/>
      <w:r/>
      <w:bookmarkStart w:id="153" w:name="_Toc226965799"/>
      <w:r/>
      <w:bookmarkStart w:id="154" w:name="_Toc150774626"/>
      <w:r/>
      <w:bookmarkStart w:id="155" w:name="_Toc264969216"/>
      <w:r/>
      <w:bookmarkStart w:id="156" w:name="_Toc226965716"/>
      <w:r/>
      <w:bookmarkStart w:id="157" w:name="_Toc226309770"/>
      <w:r/>
      <w:bookmarkStart w:id="158" w:name="_Toc127151526"/>
      <w:r/>
      <w:bookmarkStart w:id="159" w:name="_Toc150774731"/>
      <w:r/>
      <w:bookmarkStart w:id="160" w:name="_Toc151190153"/>
      <w:r/>
      <w:bookmarkStart w:id="161" w:name="_Toc520356150"/>
      <w:r/>
      <w:bookmarkStart w:id="162" w:name="_Toc151193624"/>
      <w:r/>
      <w:bookmarkStart w:id="163" w:name="_Toc151193768"/>
      <w:r/>
      <w:bookmarkStart w:id="164" w:name="_Toc142311028"/>
      <w:r/>
      <w:bookmarkStart w:id="165" w:name="_Toc265228364"/>
      <w:r/>
      <w:bookmarkStart w:id="166" w:name="_Toc150480764"/>
      <w:r/>
      <w:bookmarkStart w:id="167" w:name="_Toc226337222"/>
      <w:r/>
      <w:bookmarkStart w:id="168" w:name="_Toc151193696"/>
      <w:r/>
      <w:bookmarkStart w:id="169" w:name="_Toc151193914"/>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ind w:left="1080"/>
        <w:spacing w:line="360" w:lineRule="auto"/>
        <w:tabs>
          <w:tab w:val="left" w:pos="1080" w:leader="none"/>
          <w:tab w:val="left" w:pos="1561" w:leader="none"/>
        </w:tabs>
        <w:rPr>
          <w:sz w:val="28"/>
          <w:highlight w:val="none"/>
        </w:rPr>
      </w:pPr>
      <w:r>
        <w:rPr>
          <w:sz w:val="28"/>
          <w:highlight w:val="none"/>
        </w:rPr>
      </w:r>
      <w:r/>
    </w:p>
    <w:p>
      <w:pPr>
        <w:pStyle w:val="96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47"/>
      <w:r>
        <w:rPr>
          <w:rFonts w:ascii="Times New Roman" w:hAnsi="Times New Roman" w:eastAsia="宋体"/>
          <w:sz w:val="28"/>
          <w:highlight w:val="none"/>
        </w:rPr>
        <w:t xml:space="preserve">的编制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0"/>
        </w:numPr>
        <w:spacing w:line="360" w:lineRule="auto"/>
        <w:tabs>
          <w:tab w:val="left" w:pos="360" w:leader="none"/>
        </w:tabs>
        <w:rPr>
          <w:color w:val="auto"/>
          <w:sz w:val="24"/>
          <w:highlight w:val="none"/>
        </w:rPr>
        <w:outlineLvl w:val="1"/>
      </w:pPr>
      <w:r/>
      <w:bookmarkStart w:id="170" w:name="_Toc127151728"/>
      <w:r/>
      <w:bookmarkStart w:id="171" w:name="_Toc149720820"/>
      <w:r/>
      <w:bookmarkStart w:id="172" w:name="_Toc151193625"/>
      <w:r/>
      <w:bookmarkStart w:id="173" w:name="_Toc164608641"/>
      <w:r/>
      <w:bookmarkStart w:id="174" w:name="_Toc520356151"/>
      <w:r/>
      <w:bookmarkStart w:id="175" w:name="_Toc142311029"/>
      <w:r/>
      <w:bookmarkStart w:id="176" w:name="_Toc150509278"/>
      <w:r/>
      <w:bookmarkStart w:id="177" w:name="_Toc151190154"/>
      <w:r/>
      <w:bookmarkStart w:id="178" w:name="_Toc150774732"/>
      <w:r/>
      <w:bookmarkStart w:id="179" w:name="_Toc127161441"/>
      <w:r/>
      <w:bookmarkStart w:id="180" w:name="_Toc150774627"/>
      <w:r/>
      <w:bookmarkStart w:id="181" w:name="_Toc164608796"/>
      <w:r/>
      <w:bookmarkStart w:id="182" w:name="_Toc151193769"/>
      <w:r/>
      <w:bookmarkStart w:id="183" w:name="_Toc195842892"/>
      <w:r/>
      <w:bookmarkStart w:id="184" w:name="_Toc305158869"/>
      <w:r/>
      <w:bookmarkStart w:id="185" w:name="_Toc226965717"/>
      <w:r/>
      <w:bookmarkStart w:id="186" w:name="_Toc127151527"/>
      <w:r/>
      <w:bookmarkStart w:id="187" w:name="_Toc516367021"/>
      <w:r/>
      <w:bookmarkStart w:id="188" w:name="_Toc305158795"/>
      <w:r/>
      <w:bookmarkStart w:id="189" w:name="_Toc264969217"/>
      <w:r/>
      <w:bookmarkStart w:id="190" w:name="_Toc151193915"/>
      <w:r/>
      <w:bookmarkStart w:id="191" w:name="_Toc164229368"/>
      <w:r/>
      <w:bookmarkStart w:id="192" w:name="_Toc151193841"/>
      <w:r/>
      <w:bookmarkStart w:id="193" w:name="_Toc151193697"/>
      <w:r/>
      <w:bookmarkStart w:id="194" w:name="_Toc164351621"/>
      <w:r/>
      <w:bookmarkStart w:id="195" w:name="_Toc226309771"/>
      <w:r/>
      <w:bookmarkStart w:id="196" w:name="_Toc150480765"/>
      <w:r/>
      <w:bookmarkStart w:id="197" w:name="_Toc226337223"/>
      <w:r/>
      <w:bookmarkStart w:id="198" w:name="_Toc226965800"/>
      <w:r/>
      <w:bookmarkStart w:id="199" w:name="_Toc265228365"/>
      <w:r/>
      <w:bookmarkStart w:id="200" w:name="_Toc164229222"/>
      <w:r/>
      <w:bookmarkStart w:id="201" w:name="_Toc150774739"/>
      <w:r/>
      <w:bookmarkStart w:id="202" w:name="_Toc226337230"/>
      <w:r/>
      <w:bookmarkStart w:id="203" w:name="_Toc150774634"/>
      <w:r/>
      <w:bookmarkStart w:id="204" w:name="_Toc520356159"/>
      <w:r/>
      <w:bookmarkStart w:id="205" w:name="_Toc150480772"/>
      <w:r/>
      <w:bookmarkStart w:id="206" w:name="_Toc127151534"/>
      <w:r/>
      <w:bookmarkStart w:id="207" w:name="_Toc151193632"/>
      <w:r/>
      <w:bookmarkStart w:id="208" w:name="_Toc151193776"/>
      <w:r/>
      <w:bookmarkStart w:id="209" w:name="_Toc142311036"/>
      <w:r/>
      <w:bookmarkStart w:id="210" w:name="_Toc226965724"/>
      <w:r/>
      <w:bookmarkStart w:id="211" w:name="_Toc151193704"/>
      <w:r/>
      <w:bookmarkStart w:id="212" w:name="_Toc150509285"/>
      <w:r/>
      <w:bookmarkStart w:id="213" w:name="_Toc305158876"/>
      <w:r/>
      <w:bookmarkStart w:id="214" w:name="_Toc151193848"/>
      <w:r/>
      <w:bookmarkStart w:id="215" w:name="_Toc226965807"/>
      <w:r/>
      <w:bookmarkStart w:id="216" w:name="_Toc195842899"/>
      <w:r/>
      <w:bookmarkStart w:id="217" w:name="_Toc151193922"/>
      <w:r/>
      <w:bookmarkStart w:id="218" w:name="_Toc226309778"/>
      <w:r/>
      <w:bookmarkStart w:id="219" w:name="_Toc264969224"/>
      <w:r/>
      <w:bookmarkStart w:id="220" w:name="_Toc265228372"/>
      <w:r/>
      <w:bookmarkStart w:id="221" w:name="_Toc305158802"/>
      <w:r/>
      <w:bookmarkStart w:id="222" w:name="_Toc151190161"/>
      <w:r>
        <w:rPr>
          <w:rFonts w:hint="eastAsia"/>
          <w:color w:val="auto"/>
          <w:sz w:val="24"/>
          <w:highlight w:val="none"/>
          <w:lang w:val="en-US" w:eastAsia="zh-CN"/>
        </w:rPr>
        <w:t xml:space="preserve">8  </w:t>
      </w:r>
      <w:r>
        <w:rPr>
          <w:color w:val="auto"/>
          <w:sz w:val="24"/>
          <w:highlight w:val="none"/>
        </w:rPr>
        <w:t xml:space="preserve">响应范围、竞争性磋商文件中计量单位的使用</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color w:val="auto"/>
          <w:sz w:val="24"/>
          <w:highlight w:val="none"/>
        </w:rPr>
        <w:t xml:space="preserve">及磋商语言</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8.1</w:t>
      </w: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8.2</w:t>
      </w:r>
      <w:r>
        <w:rPr>
          <w:color w:val="auto"/>
          <w:sz w:val="24"/>
          <w:highlight w:val="none"/>
        </w:rPr>
        <w:t xml:space="preserve">除竞争性磋商文件有特殊要求外，本项目磋商所使用的计量单位，应采用中华人民共和国法定计量单位。</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8.3</w:t>
      </w: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0"/>
        </w:numPr>
        <w:spacing w:line="360" w:lineRule="auto"/>
        <w:tabs>
          <w:tab w:val="left" w:pos="360" w:leader="none"/>
        </w:tabs>
        <w:rPr>
          <w:color w:val="auto"/>
          <w:sz w:val="24"/>
          <w:highlight w:val="none"/>
        </w:rPr>
        <w:outlineLvl w:val="1"/>
      </w:pPr>
      <w:r/>
      <w:bookmarkStart w:id="223" w:name="_Ref467306195"/>
      <w:r/>
      <w:bookmarkStart w:id="224" w:name="_Toc516367022"/>
      <w:r/>
      <w:bookmarkStart w:id="225" w:name="_Ref467306676"/>
      <w:r/>
      <w:bookmarkStart w:id="226" w:name="_Toc127151528"/>
      <w:r/>
      <w:bookmarkStart w:id="227" w:name="_Toc164229369"/>
      <w:r/>
      <w:bookmarkStart w:id="228" w:name="_Toc127161442"/>
      <w:r/>
      <w:bookmarkStart w:id="229" w:name="_Toc151193698"/>
      <w:r/>
      <w:bookmarkStart w:id="230" w:name="_Toc149720821"/>
      <w:r/>
      <w:bookmarkStart w:id="231" w:name="_Toc127151729"/>
      <w:r/>
      <w:bookmarkStart w:id="232" w:name="_Toc151193770"/>
      <w:r/>
      <w:bookmarkStart w:id="233" w:name="_Toc305158870"/>
      <w:r/>
      <w:bookmarkStart w:id="234" w:name="_Toc151193626"/>
      <w:r/>
      <w:bookmarkStart w:id="235" w:name="_Toc164229223"/>
      <w:r/>
      <w:bookmarkStart w:id="236" w:name="_Toc226337224"/>
      <w:r/>
      <w:bookmarkStart w:id="237" w:name="_Toc151190155"/>
      <w:r/>
      <w:bookmarkStart w:id="238" w:name="_Toc151193916"/>
      <w:r/>
      <w:bookmarkStart w:id="239" w:name="_Toc150509279"/>
      <w:r/>
      <w:bookmarkStart w:id="240" w:name="_Toc164608797"/>
      <w:r/>
      <w:bookmarkStart w:id="241" w:name="_Toc264969218"/>
      <w:r/>
      <w:bookmarkStart w:id="242" w:name="_Toc305158796"/>
      <w:r/>
      <w:bookmarkStart w:id="243" w:name="_Toc164351622"/>
      <w:r/>
      <w:bookmarkStart w:id="244" w:name="_Toc150774733"/>
      <w:r/>
      <w:bookmarkStart w:id="245" w:name="_Toc150774628"/>
      <w:r/>
      <w:bookmarkStart w:id="246" w:name="_Toc226965718"/>
      <w:r/>
      <w:bookmarkStart w:id="247" w:name="_Toc226309772"/>
      <w:r/>
      <w:bookmarkStart w:id="248" w:name="_Toc226965801"/>
      <w:r/>
      <w:bookmarkStart w:id="249" w:name="_Toc265228366"/>
      <w:r/>
      <w:bookmarkStart w:id="250" w:name="_Toc164608642"/>
      <w:r/>
      <w:bookmarkStart w:id="251" w:name="_Toc142311030"/>
      <w:r/>
      <w:bookmarkStart w:id="252" w:name="_Toc151193842"/>
      <w:r/>
      <w:bookmarkStart w:id="253" w:name="_Toc150480766"/>
      <w:r/>
      <w:bookmarkStart w:id="254" w:name="_Toc520356152"/>
      <w:r/>
      <w:bookmarkStart w:id="255" w:name="_Toc195842893"/>
      <w:r>
        <w:rPr>
          <w:rFonts w:hint="eastAsia"/>
          <w:color w:val="auto"/>
          <w:sz w:val="24"/>
          <w:highlight w:val="none"/>
          <w:lang w:val="en-US" w:eastAsia="zh-CN"/>
        </w:rPr>
        <w:t xml:space="preserve">9  </w:t>
      </w:r>
      <w:r>
        <w:rPr>
          <w:color w:val="auto"/>
          <w:sz w:val="24"/>
          <w:highlight w:val="none"/>
        </w:rPr>
        <w:t xml:space="preserve">响应文件</w:t>
      </w:r>
      <w:bookmarkEnd w:id="223"/>
      <w:r/>
      <w:bookmarkEnd w:id="224"/>
      <w:r/>
      <w:bookmarkEnd w:id="225"/>
      <w:r>
        <w:rPr>
          <w:color w:val="auto"/>
          <w:sz w:val="24"/>
          <w:highlight w:val="none"/>
        </w:rPr>
        <w:t xml:space="preserve">构成</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numPr>
          <w:ilvl w:val="0"/>
          <w:numId w:val="0"/>
        </w:numPr>
        <w:spacing w:line="360" w:lineRule="auto"/>
        <w:tabs>
          <w:tab w:val="left" w:pos="1080" w:leader="none"/>
          <w:tab w:val="left" w:pos="2014" w:leader="none"/>
        </w:tabs>
        <w:rPr>
          <w:color w:val="auto"/>
          <w:sz w:val="24"/>
          <w:highlight w:val="none"/>
        </w:rPr>
      </w:pPr>
      <w:r/>
      <w:bookmarkStart w:id="256" w:name="_Ref467052588"/>
      <w:r>
        <w:rPr>
          <w:rFonts w:hint="eastAsia"/>
          <w:color w:val="auto"/>
          <w:sz w:val="24"/>
          <w:highlight w:val="none"/>
          <w:lang w:val="en-US" w:eastAsia="zh-CN"/>
        </w:rPr>
        <w:t xml:space="preserve">9.1</w:t>
      </w:r>
      <w:r>
        <w:rPr>
          <w:color w:val="auto"/>
          <w:sz w:val="24"/>
          <w:highlight w:val="none"/>
        </w:rPr>
        <w:t xml:space="preserve">供应商应当按照竞争性磋商文件的要求编制响应文件，</w:t>
      </w:r>
      <w:r>
        <w:rPr>
          <w:color w:val="auto"/>
          <w:sz w:val="24"/>
          <w:highlight w:val="none"/>
        </w:rPr>
        <w:t xml:space="preserve">并对其提交的响应文件的真实性、合法性承担法律责任</w:t>
      </w:r>
      <w:r>
        <w:rPr>
          <w:color w:val="auto"/>
          <w:sz w:val="24"/>
          <w:highlight w:val="none"/>
        </w:rPr>
        <w:t xml:space="preserve">。响应文件的部分格式要求，见第六章《响应文件格式》。</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9.2</w:t>
      </w:r>
      <w:r>
        <w:rPr>
          <w:color w:val="auto"/>
          <w:sz w:val="24"/>
          <w:highlight w:val="none"/>
        </w:rPr>
        <w:t xml:space="preserve">对于竞争性磋商文件中标记了“实质性格式”文件的，</w:t>
      </w:r>
      <w:r>
        <w:rPr>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9.3</w:t>
      </w:r>
      <w:r>
        <w:rPr>
          <w:color w:val="auto"/>
          <w:sz w:val="24"/>
          <w:highlight w:val="none"/>
        </w:rPr>
        <w:t xml:space="preserve">第三章《评审方法和评审标准》中涉及的证明文件。</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9.4</w:t>
      </w: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9.5</w:t>
      </w:r>
      <w:r>
        <w:rPr>
          <w:color w:val="auto"/>
          <w:sz w:val="24"/>
          <w:highlight w:val="none"/>
        </w:rPr>
        <w:t xml:space="preserve">供应商认为应附的其他材料。</w:t>
      </w:r>
      <w:bookmarkEnd w:id="256"/>
      <w:r/>
      <w:r/>
    </w:p>
    <w:p>
      <w:pPr>
        <w:numPr>
          <w:ilvl w:val="0"/>
          <w:numId w:val="0"/>
        </w:numPr>
        <w:spacing w:line="360" w:lineRule="auto"/>
        <w:tabs>
          <w:tab w:val="left" w:pos="360" w:leader="none"/>
        </w:tabs>
        <w:rPr>
          <w:color w:val="auto"/>
          <w:sz w:val="24"/>
          <w:highlight w:val="none"/>
        </w:rPr>
        <w:outlineLvl w:val="1"/>
      </w:pPr>
      <w:r/>
      <w:bookmarkStart w:id="257" w:name="_Toc127151530"/>
      <w:r/>
      <w:bookmarkStart w:id="258" w:name="_Toc127161444"/>
      <w:r/>
      <w:bookmarkStart w:id="259" w:name="_Toc127151731"/>
      <w:r/>
      <w:bookmarkStart w:id="260" w:name="_Toc151190157"/>
      <w:r/>
      <w:bookmarkStart w:id="261" w:name="_Toc164608644"/>
      <w:r/>
      <w:bookmarkStart w:id="262" w:name="_Toc150480768"/>
      <w:r/>
      <w:bookmarkStart w:id="263" w:name="_Toc151193918"/>
      <w:r/>
      <w:bookmarkStart w:id="264" w:name="_Toc195842895"/>
      <w:r/>
      <w:bookmarkStart w:id="265" w:name="_Toc164608799"/>
      <w:r/>
      <w:bookmarkStart w:id="266" w:name="_Toc150774630"/>
      <w:r/>
      <w:bookmarkStart w:id="267" w:name="_Toc151193844"/>
      <w:r/>
      <w:bookmarkStart w:id="268" w:name="_Toc520356155"/>
      <w:r/>
      <w:bookmarkStart w:id="269" w:name="_Toc151193772"/>
      <w:r/>
      <w:bookmarkStart w:id="270" w:name="_Toc164229225"/>
      <w:r/>
      <w:bookmarkStart w:id="271" w:name="_Toc150509281"/>
      <w:r/>
      <w:bookmarkStart w:id="272" w:name="_Toc151193628"/>
      <w:r/>
      <w:bookmarkStart w:id="273" w:name="_Toc151193700"/>
      <w:r/>
      <w:bookmarkStart w:id="274" w:name="_Toc150774735"/>
      <w:r/>
      <w:bookmarkStart w:id="275" w:name="_Toc142311032"/>
      <w:r/>
      <w:bookmarkStart w:id="276" w:name="_Toc164229371"/>
      <w:r/>
      <w:bookmarkStart w:id="277" w:name="_Toc164351624"/>
      <w:r/>
      <w:bookmarkStart w:id="278" w:name="_Toc149720823"/>
      <w:r>
        <w:rPr>
          <w:rFonts w:hint="eastAsia"/>
          <w:color w:val="auto"/>
          <w:sz w:val="24"/>
          <w:highlight w:val="none"/>
          <w:lang w:val="en-US" w:eastAsia="zh-CN"/>
        </w:rPr>
        <w:t xml:space="preserve">10  </w:t>
      </w:r>
      <w:r>
        <w:rPr>
          <w:color w:val="auto"/>
          <w:sz w:val="24"/>
          <w:highlight w:val="none"/>
        </w:rPr>
        <w:t xml:space="preserve">报价</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10.1</w:t>
      </w:r>
      <w:r>
        <w:rPr>
          <w:color w:val="auto"/>
          <w:sz w:val="24"/>
          <w:highlight w:val="none"/>
        </w:rPr>
        <w:t xml:space="preserve">所有响应均以人民币报价。</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10.2</w:t>
      </w: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10.2.1</w:t>
      </w: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10.2.2</w:t>
      </w: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10.3</w:t>
      </w:r>
      <w:r>
        <w:rPr>
          <w:color w:val="auto"/>
          <w:sz w:val="24"/>
          <w:highlight w:val="none"/>
        </w:rPr>
        <w:t xml:space="preserve">采购人不得向供应商索要或者接受其给予的赠品、回扣或者与采购无关的其他商品、服务。</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10.4</w:t>
      </w:r>
      <w:r>
        <w:rPr>
          <w:color w:val="auto"/>
          <w:sz w:val="24"/>
          <w:highlight w:val="none"/>
        </w:rPr>
        <w:t xml:space="preserve">供应商不能提供任何有选择性或可调整的最终报价（</w:t>
      </w:r>
      <w:r>
        <w:rPr>
          <w:color w:val="auto"/>
          <w:sz w:val="24"/>
          <w:highlight w:val="none"/>
        </w:rPr>
        <w:t xml:space="preserve">竞争性磋商文件</w:t>
      </w:r>
      <w:r>
        <w:rPr>
          <w:color w:val="auto"/>
          <w:sz w:val="24"/>
          <w:highlight w:val="none"/>
        </w:rPr>
        <w:t xml:space="preserve">另有规定的除外），否则其</w:t>
      </w:r>
      <w:r>
        <w:rPr>
          <w:b/>
          <w:color w:val="auto"/>
          <w:sz w:val="24"/>
          <w:highlight w:val="none"/>
        </w:rPr>
        <w:t xml:space="preserve">响应无效</w:t>
      </w:r>
      <w:r>
        <w:rPr>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11  </w:t>
      </w:r>
      <w:r>
        <w:rPr>
          <w:color w:val="auto"/>
          <w:sz w:val="24"/>
          <w:highlight w:val="none"/>
        </w:rPr>
        <w:t xml:space="preserve">磋商保证金</w:t>
      </w:r>
      <w:r/>
    </w:p>
    <w:p>
      <w:p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11.1</w:t>
      </w:r>
      <w:r>
        <w:rPr>
          <w:rFonts w:hint="eastAsia"/>
          <w:color w:val="auto"/>
          <w:sz w:val="24"/>
          <w:highlight w:val="none"/>
        </w:rPr>
        <w:t xml:space="preserve">根据江苏省和常州市的相关文件规定，免收保证金。</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12  </w:t>
      </w:r>
      <w:r>
        <w:rPr>
          <w:color w:val="auto"/>
          <w:sz w:val="24"/>
          <w:highlight w:val="none"/>
        </w:rPr>
        <w:t xml:space="preserve">响应有效期</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12.1</w:t>
      </w: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bookmarkStart w:id="279" w:name="_Toc151190160"/>
      <w:r/>
      <w:bookmarkStart w:id="280" w:name="_Toc164351627"/>
      <w:r/>
      <w:bookmarkStart w:id="281" w:name="_Toc150480771"/>
      <w:r/>
      <w:bookmarkStart w:id="282" w:name="_Toc226965806"/>
      <w:r/>
      <w:bookmarkStart w:id="283" w:name="_Toc195842898"/>
      <w:r/>
      <w:bookmarkStart w:id="284" w:name="_Toc226309777"/>
      <w:r/>
      <w:bookmarkStart w:id="285" w:name="_Toc127161447"/>
      <w:r/>
      <w:bookmarkStart w:id="286" w:name="_Toc151193775"/>
      <w:r/>
      <w:bookmarkStart w:id="287" w:name="_Toc151193847"/>
      <w:r/>
      <w:bookmarkStart w:id="288" w:name="_Toc164229374"/>
      <w:r/>
      <w:bookmarkStart w:id="289" w:name="_Toc305158801"/>
      <w:r/>
      <w:bookmarkStart w:id="290" w:name="_Toc150509284"/>
      <w:r/>
      <w:bookmarkStart w:id="291" w:name="_Toc264969223"/>
      <w:r/>
      <w:bookmarkStart w:id="292" w:name="_Toc127151734"/>
      <w:r/>
      <w:bookmarkStart w:id="293" w:name="_Toc150774633"/>
      <w:r/>
      <w:bookmarkStart w:id="294" w:name="_Toc150774738"/>
      <w:r/>
      <w:bookmarkStart w:id="295" w:name="_Toc164608802"/>
      <w:r/>
      <w:bookmarkStart w:id="296" w:name="_Toc520356158"/>
      <w:r/>
      <w:bookmarkStart w:id="297" w:name="_Toc151193703"/>
      <w:r/>
      <w:bookmarkStart w:id="298" w:name="_Toc151193921"/>
      <w:r/>
      <w:bookmarkStart w:id="299" w:name="_Toc305158875"/>
      <w:r/>
      <w:bookmarkStart w:id="300" w:name="_Toc265228371"/>
      <w:r/>
      <w:bookmarkStart w:id="301" w:name="_Toc164229228"/>
      <w:r/>
      <w:bookmarkStart w:id="302" w:name="_Toc226337229"/>
      <w:r/>
      <w:bookmarkStart w:id="303" w:name="_Toc164608647"/>
      <w:r/>
      <w:bookmarkStart w:id="304" w:name="_Toc151193631"/>
      <w:r/>
      <w:bookmarkStart w:id="305" w:name="_Toc127151533"/>
      <w:r/>
      <w:bookmarkStart w:id="306" w:name="_Toc142311035"/>
      <w:r/>
      <w:bookmarkStart w:id="307" w:name="_Toc149720826"/>
      <w:r/>
      <w:bookmarkStart w:id="308" w:name="_Toc226965723"/>
      <w:r>
        <w:rPr>
          <w:rFonts w:hint="eastAsia"/>
          <w:color w:val="auto"/>
          <w:sz w:val="24"/>
          <w:highlight w:val="none"/>
          <w:lang w:val="en-US" w:eastAsia="zh-CN"/>
        </w:rPr>
        <w:t xml:space="preserve">13  </w:t>
      </w:r>
      <w:r>
        <w:rPr>
          <w:color w:val="auto"/>
          <w:sz w:val="24"/>
          <w:highlight w:val="none"/>
        </w:rPr>
        <w:t xml:space="preserve">响应文件的签署</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color w:val="auto"/>
          <w:sz w:val="24"/>
          <w:highlight w:val="none"/>
        </w:rPr>
        <w:t xml:space="preserve">、盖章</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13.1</w:t>
      </w:r>
      <w:r>
        <w:rPr>
          <w:rFonts w:hint="eastAsia"/>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0"/>
          <w:numId w:val="0"/>
        </w:numPr>
        <w:spacing w:line="360" w:lineRule="auto"/>
        <w:tabs>
          <w:tab w:val="left" w:pos="1080" w:leader="none"/>
          <w:tab w:val="left" w:pos="2014" w:leader="none"/>
        </w:tabs>
        <w:rPr>
          <w:sz w:val="24"/>
          <w:highlight w:val="none"/>
        </w:rPr>
      </w:pPr>
      <w:r>
        <w:rPr>
          <w:rFonts w:hint="eastAsia"/>
          <w:color w:val="auto"/>
          <w:sz w:val="24"/>
          <w:highlight w:val="none"/>
          <w:lang w:val="en-US" w:eastAsia="zh-CN"/>
        </w:rPr>
        <w:t xml:space="preserve">13.2</w:t>
      </w:r>
      <w:r>
        <w:rPr>
          <w:rFonts w:hint="eastAsia"/>
          <w:color w:val="auto"/>
          <w:sz w:val="24"/>
          <w:highlight w:val="none"/>
        </w:rPr>
        <w:t xml:space="preserve">竞争性磋商文件要求盖章的内容，一般通过投标文件编制工具加盖电子签章</w:t>
      </w:r>
      <w:r>
        <w:rPr>
          <w:color w:val="auto"/>
          <w:sz w:val="24"/>
          <w:highlight w:val="none"/>
        </w:rPr>
        <w:t xml:space="preserve">。</w:t>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spacing w:line="360" w:lineRule="auto"/>
        <w:tabs>
          <w:tab w:val="left" w:pos="900" w:leader="none"/>
          <w:tab w:val="left" w:pos="1080" w:leader="none"/>
        </w:tabs>
        <w:rPr>
          <w:highlight w:val="none"/>
        </w:rPr>
      </w:pPr>
      <w:r>
        <w:rPr>
          <w:highlight w:val="none"/>
        </w:rPr>
      </w:r>
      <w:r/>
    </w:p>
    <w:p>
      <w:pPr>
        <w:pStyle w:val="96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numPr>
          <w:ilvl w:val="0"/>
          <w:numId w:val="0"/>
        </w:numPr>
        <w:spacing w:line="360" w:lineRule="auto"/>
        <w:tabs>
          <w:tab w:val="left" w:pos="360" w:leader="none"/>
        </w:tabs>
        <w:rPr>
          <w:color w:val="auto"/>
          <w:sz w:val="24"/>
          <w:highlight w:val="none"/>
        </w:rPr>
        <w:outlineLvl w:val="1"/>
      </w:pPr>
      <w:r/>
      <w:bookmarkStart w:id="309" w:name="_Toc305158877"/>
      <w:r/>
      <w:bookmarkStart w:id="310" w:name="_Toc127161449"/>
      <w:r/>
      <w:bookmarkStart w:id="311" w:name="_Toc226337231"/>
      <w:r/>
      <w:bookmarkStart w:id="312" w:name="_Toc127151535"/>
      <w:r/>
      <w:bookmarkStart w:id="313" w:name="_Toc150509286"/>
      <w:r/>
      <w:bookmarkStart w:id="314" w:name="_Toc151190162"/>
      <w:r/>
      <w:bookmarkStart w:id="315" w:name="_Toc164351629"/>
      <w:r/>
      <w:bookmarkStart w:id="316" w:name="_Toc264969225"/>
      <w:r/>
      <w:bookmarkStart w:id="317" w:name="_Toc226965725"/>
      <w:r/>
      <w:bookmarkStart w:id="318" w:name="_Toc164229376"/>
      <w:r/>
      <w:bookmarkStart w:id="319" w:name="_Toc265228373"/>
      <w:r/>
      <w:bookmarkStart w:id="320" w:name="_Toc142311037"/>
      <w:r/>
      <w:bookmarkStart w:id="321" w:name="_Toc226309779"/>
      <w:r/>
      <w:bookmarkStart w:id="322" w:name="_Toc226965808"/>
      <w:r/>
      <w:bookmarkStart w:id="323" w:name="_Toc305158803"/>
      <w:r/>
      <w:bookmarkStart w:id="324" w:name="_Toc151193849"/>
      <w:r/>
      <w:bookmarkStart w:id="325" w:name="_Toc150774740"/>
      <w:r/>
      <w:bookmarkStart w:id="326" w:name="_Toc164608649"/>
      <w:r/>
      <w:bookmarkStart w:id="327" w:name="_Toc150480773"/>
      <w:r/>
      <w:bookmarkStart w:id="328" w:name="_Toc164229230"/>
      <w:r/>
      <w:bookmarkStart w:id="329" w:name="_Toc164608804"/>
      <w:r/>
      <w:bookmarkStart w:id="330" w:name="_Toc520356160"/>
      <w:r/>
      <w:bookmarkStart w:id="331" w:name="_Toc150774635"/>
      <w:r/>
      <w:bookmarkStart w:id="332" w:name="_Toc151193633"/>
      <w:r/>
      <w:bookmarkStart w:id="333" w:name="_Toc151193705"/>
      <w:r/>
      <w:bookmarkStart w:id="334" w:name="_Toc127151736"/>
      <w:r/>
      <w:bookmarkStart w:id="335" w:name="_Toc151193923"/>
      <w:r/>
      <w:bookmarkStart w:id="336" w:name="_Toc149720828"/>
      <w:r/>
      <w:bookmarkStart w:id="337" w:name="_Toc195842900"/>
      <w:r/>
      <w:bookmarkStart w:id="338" w:name="_Toc151193777"/>
      <w:r>
        <w:rPr>
          <w:rFonts w:hint="eastAsia"/>
          <w:color w:val="auto"/>
          <w:sz w:val="24"/>
          <w:highlight w:val="none"/>
          <w:lang w:val="en-US" w:eastAsia="zh-CN"/>
        </w:rPr>
        <w:t xml:space="preserve">14  </w:t>
      </w:r>
      <w:r>
        <w:rPr>
          <w:color w:val="auto"/>
          <w:sz w:val="24"/>
          <w:highlight w:val="none"/>
        </w:rPr>
        <w:t xml:space="preserve">响应文件的</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auto"/>
          <w:sz w:val="24"/>
          <w:highlight w:val="none"/>
        </w:rPr>
        <w:t xml:space="preserve">提交</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14.1</w:t>
      </w:r>
      <w:r>
        <w:rPr>
          <w:rFonts w:hint="eastAsia"/>
          <w:color w:val="auto"/>
          <w:sz w:val="24"/>
          <w:highlight w:val="none"/>
        </w:rPr>
        <w:t xml:space="preserve">本项目使用</w:t>
      </w:r>
      <w:r>
        <w:rPr>
          <w:rFonts w:hint="eastAsia"/>
          <w:color w:val="auto"/>
          <w:sz w:val="24"/>
          <w:highlight w:val="none"/>
          <w:lang w:eastAsia="zh-CN"/>
        </w:rPr>
        <w:t xml:space="preserve">“</w:t>
      </w:r>
      <w:r>
        <w:rPr>
          <w:rFonts w:hint="eastAsia"/>
          <w:color w:val="auto"/>
          <w:sz w:val="24"/>
          <w:highlight w:val="none"/>
          <w:lang w:val="en-US" w:eastAsia="zh-CN"/>
        </w:rPr>
        <w:t xml:space="preserve">苏采云”</w:t>
      </w:r>
      <w:r>
        <w:rPr>
          <w:rFonts w:hint="eastAsia"/>
          <w:color w:val="auto"/>
          <w:sz w:val="24"/>
          <w:highlight w:val="none"/>
        </w:rPr>
        <w:t xml:space="preserve">平台。供应商根据竞争性磋商文件及“苏采云”供应商操作手册要求编制、生成并提交电子响应文件</w:t>
      </w:r>
      <w:r>
        <w:rPr>
          <w:color w:val="auto"/>
          <w:sz w:val="24"/>
          <w:highlight w:val="none"/>
        </w:rPr>
        <w:t xml:space="preserve">。</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14.2</w:t>
      </w:r>
      <w:r>
        <w:rPr>
          <w:rFonts w:hint="eastAsia"/>
          <w:color w:val="auto"/>
          <w:sz w:val="24"/>
          <w:highlight w:val="none"/>
        </w:rPr>
        <w:t xml:space="preserve">采购人及采购代理机构拒绝接受通过电子交易平台以外任何形式提交的响应文件，磋商保证金除外。</w:t>
      </w:r>
      <w:r/>
    </w:p>
    <w:p>
      <w:pPr>
        <w:numPr>
          <w:ilvl w:val="0"/>
          <w:numId w:val="0"/>
        </w:numPr>
        <w:spacing w:line="360" w:lineRule="auto"/>
        <w:tabs>
          <w:tab w:val="left" w:pos="360" w:leader="none"/>
        </w:tabs>
        <w:rPr>
          <w:color w:val="auto"/>
          <w:sz w:val="24"/>
          <w:highlight w:val="none"/>
        </w:rPr>
        <w:outlineLvl w:val="1"/>
      </w:pPr>
      <w:r/>
      <w:bookmarkStart w:id="339" w:name="_Toc164608805"/>
      <w:r/>
      <w:bookmarkStart w:id="340" w:name="_Toc127151536"/>
      <w:r/>
      <w:bookmarkStart w:id="341" w:name="_Toc226337232"/>
      <w:r/>
      <w:bookmarkStart w:id="342" w:name="_Toc150774741"/>
      <w:r/>
      <w:bookmarkStart w:id="343" w:name="_Toc226309780"/>
      <w:r/>
      <w:bookmarkStart w:id="344" w:name="_Toc164608650"/>
      <w:r/>
      <w:bookmarkStart w:id="345" w:name="_Toc151193706"/>
      <w:r/>
      <w:bookmarkStart w:id="346" w:name="_Toc164351630"/>
      <w:r/>
      <w:bookmarkStart w:id="347" w:name="_Toc226965726"/>
      <w:r/>
      <w:bookmarkStart w:id="348" w:name="_Toc226965809"/>
      <w:r/>
      <w:bookmarkStart w:id="349" w:name="_Toc150509287"/>
      <w:r/>
      <w:bookmarkStart w:id="350" w:name="_Toc151190163"/>
      <w:r/>
      <w:bookmarkStart w:id="351" w:name="_Toc150774636"/>
      <w:r/>
      <w:bookmarkStart w:id="352" w:name="_Toc127151737"/>
      <w:r/>
      <w:bookmarkStart w:id="353" w:name="_Toc151193850"/>
      <w:r/>
      <w:bookmarkStart w:id="354" w:name="_Toc164229231"/>
      <w:r/>
      <w:bookmarkStart w:id="355" w:name="_Toc149720829"/>
      <w:r/>
      <w:bookmarkStart w:id="356" w:name="_Toc151193924"/>
      <w:r/>
      <w:bookmarkStart w:id="357" w:name="_Toc520356161"/>
      <w:r/>
      <w:bookmarkStart w:id="358" w:name="_Toc264969226"/>
      <w:r/>
      <w:bookmarkStart w:id="359" w:name="_Toc142311038"/>
      <w:r/>
      <w:bookmarkStart w:id="360" w:name="_Toc127161450"/>
      <w:r/>
      <w:bookmarkStart w:id="361" w:name="_Toc305158878"/>
      <w:r/>
      <w:bookmarkStart w:id="362" w:name="_Toc151193634"/>
      <w:r/>
      <w:bookmarkStart w:id="363" w:name="_Toc164229377"/>
      <w:r/>
      <w:bookmarkStart w:id="364" w:name="_Toc150480774"/>
      <w:r/>
      <w:bookmarkStart w:id="365" w:name="_Toc151193778"/>
      <w:r/>
      <w:bookmarkStart w:id="366" w:name="_Toc305158804"/>
      <w:r/>
      <w:bookmarkStart w:id="367" w:name="_Toc265228374"/>
      <w:r/>
      <w:bookmarkStart w:id="368" w:name="_Toc195842901"/>
      <w:r>
        <w:rPr>
          <w:rFonts w:hint="eastAsia"/>
          <w:color w:val="auto"/>
          <w:sz w:val="24"/>
          <w:highlight w:val="none"/>
          <w:lang w:val="en-US" w:eastAsia="zh-CN"/>
        </w:rPr>
        <w:t xml:space="preserve">15  </w:t>
      </w:r>
      <w:r>
        <w:rPr>
          <w:color w:val="auto"/>
          <w:sz w:val="24"/>
          <w:highlight w:val="none"/>
        </w:rPr>
        <w:t xml:space="preserve">响应文件截止</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auto"/>
          <w:sz w:val="24"/>
          <w:highlight w:val="none"/>
        </w:rPr>
        <w:t xml:space="preserve">时间</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15.1</w:t>
      </w:r>
      <w:r>
        <w:rPr>
          <w:rFonts w:hint="eastAsia"/>
          <w:color w:val="auto"/>
          <w:sz w:val="24"/>
          <w:highlight w:val="none"/>
        </w:rPr>
        <w:t xml:space="preserve">供应商应在竞争性磋商文件要求提交响应文件截止时间前，将电子响应文件提交至</w:t>
      </w:r>
      <w:r>
        <w:rPr>
          <w:rFonts w:hint="eastAsia"/>
          <w:color w:val="auto"/>
          <w:sz w:val="24"/>
          <w:highlight w:val="none"/>
          <w:lang w:eastAsia="zh-CN"/>
        </w:rPr>
        <w:t xml:space="preserve">“苏采云”</w:t>
      </w:r>
      <w:r>
        <w:rPr>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bookmarkStart w:id="369" w:name="_Toc226309781"/>
      <w:r/>
      <w:bookmarkStart w:id="370" w:name="_Toc151190164"/>
      <w:r/>
      <w:bookmarkStart w:id="371" w:name="_Toc151193635"/>
      <w:r/>
      <w:bookmarkStart w:id="372" w:name="_Toc520356162"/>
      <w:r/>
      <w:bookmarkStart w:id="373" w:name="_Toc151193851"/>
      <w:r/>
      <w:bookmarkStart w:id="374" w:name="_Toc305158805"/>
      <w:r/>
      <w:bookmarkStart w:id="375" w:name="_Toc226965810"/>
      <w:r/>
      <w:bookmarkStart w:id="376" w:name="_Toc149720830"/>
      <w:r/>
      <w:bookmarkStart w:id="377" w:name="_Toc150480775"/>
      <w:r/>
      <w:bookmarkStart w:id="378" w:name="_Toc226337233"/>
      <w:r/>
      <w:bookmarkStart w:id="379" w:name="_Toc142311039"/>
      <w:r/>
      <w:bookmarkStart w:id="380" w:name="_Toc127161451"/>
      <w:r/>
      <w:bookmarkStart w:id="381" w:name="_Toc164608651"/>
      <w:r/>
      <w:bookmarkStart w:id="382" w:name="_Toc195842902"/>
      <w:r/>
      <w:bookmarkStart w:id="383" w:name="_Toc226965727"/>
      <w:r/>
      <w:bookmarkStart w:id="384" w:name="_Toc127151537"/>
      <w:r/>
      <w:bookmarkStart w:id="385" w:name="_Toc150509288"/>
      <w:r/>
      <w:bookmarkStart w:id="386" w:name="_Toc265228375"/>
      <w:r/>
      <w:bookmarkStart w:id="387" w:name="_Toc164229232"/>
      <w:r/>
      <w:bookmarkStart w:id="388" w:name="_Toc164608806"/>
      <w:r/>
      <w:bookmarkStart w:id="389" w:name="_Toc127151738"/>
      <w:r/>
      <w:bookmarkStart w:id="390" w:name="_Toc151193925"/>
      <w:r/>
      <w:bookmarkStart w:id="391" w:name="_Toc164351631"/>
      <w:r/>
      <w:bookmarkStart w:id="392" w:name="_Toc264969227"/>
      <w:r/>
      <w:bookmarkStart w:id="393" w:name="_Toc164229378"/>
      <w:r/>
      <w:bookmarkStart w:id="394" w:name="_Toc151193707"/>
      <w:r/>
      <w:bookmarkStart w:id="395" w:name="_Toc150774742"/>
      <w:r/>
      <w:bookmarkStart w:id="396" w:name="_Toc150774637"/>
      <w:r/>
      <w:bookmarkStart w:id="397" w:name="_Toc151193779"/>
      <w:r/>
      <w:bookmarkStart w:id="398" w:name="_Toc305158879"/>
      <w:r>
        <w:rPr>
          <w:rFonts w:hint="eastAsia"/>
          <w:color w:val="auto"/>
          <w:sz w:val="24"/>
          <w:highlight w:val="none"/>
          <w:lang w:val="en-US" w:eastAsia="zh-CN"/>
        </w:rPr>
        <w:t xml:space="preserve">16  </w:t>
      </w:r>
      <w:r>
        <w:rPr>
          <w:color w:val="auto"/>
          <w:sz w:val="24"/>
          <w:highlight w:val="none"/>
        </w:rPr>
        <w:t xml:space="preserve">响应文件的修改与撤回</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16.1</w:t>
      </w:r>
      <w:r>
        <w:rPr>
          <w:rFonts w:hint="eastAsia"/>
          <w:color w:val="auto"/>
          <w:sz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color w:val="auto"/>
          <w:sz w:val="24"/>
          <w:highlight w:val="none"/>
        </w:rPr>
        <w:t xml:space="preserve">。</w:t>
      </w:r>
      <w:r/>
    </w:p>
    <w:p>
      <w:pPr>
        <w:numPr>
          <w:ilvl w:val="0"/>
          <w:numId w:val="0"/>
        </w:numPr>
        <w:spacing w:line="360" w:lineRule="auto"/>
        <w:tabs>
          <w:tab w:val="left" w:pos="1080" w:leader="none"/>
          <w:tab w:val="left" w:pos="2014" w:leader="none"/>
        </w:tabs>
        <w:rPr>
          <w:sz w:val="24"/>
          <w:highlight w:val="none"/>
        </w:rPr>
      </w:pPr>
      <w:r>
        <w:rPr>
          <w:rFonts w:hint="eastAsia"/>
          <w:color w:val="auto"/>
          <w:sz w:val="24"/>
          <w:highlight w:val="none"/>
          <w:lang w:val="en-US" w:eastAsia="zh-CN"/>
        </w:rPr>
        <w:t xml:space="preserve">16.2</w:t>
      </w:r>
      <w:r>
        <w:rPr>
          <w:rFonts w:hint="eastAsia"/>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rPr>
          <w:color w:val="auto"/>
          <w:sz w:val="24"/>
          <w:highlight w:val="none"/>
        </w:rPr>
        <w:t xml:space="preserve">。</w:t>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spacing w:line="360" w:lineRule="auto"/>
        <w:tabs>
          <w:tab w:val="left" w:pos="900" w:leader="none"/>
          <w:tab w:val="left" w:pos="1080" w:leader="none"/>
          <w:tab w:val="left" w:pos="1589" w:leader="none"/>
        </w:tabs>
        <w:rPr>
          <w:sz w:val="24"/>
          <w:highlight w:val="none"/>
        </w:rPr>
      </w:pPr>
      <w:r>
        <w:rPr>
          <w:sz w:val="24"/>
          <w:highlight w:val="none"/>
        </w:rPr>
      </w:r>
      <w:r/>
    </w:p>
    <w:p>
      <w:pPr>
        <w:pStyle w:val="961"/>
        <w:spacing w:before="0" w:line="360" w:lineRule="auto"/>
        <w:rPr>
          <w:rFonts w:ascii="Times New Roman" w:hAnsi="Times New Roman" w:eastAsia="宋体"/>
          <w:sz w:val="28"/>
          <w:highlight w:val="none"/>
        </w:rPr>
      </w:pPr>
      <w:r/>
      <w:bookmarkStart w:id="399" w:name="_Toc151193926"/>
      <w:r/>
      <w:bookmarkStart w:id="400" w:name="_Toc226965728"/>
      <w:r/>
      <w:bookmarkStart w:id="401" w:name="_Toc151193636"/>
      <w:r/>
      <w:bookmarkStart w:id="402" w:name="_Toc195842903"/>
      <w:r/>
      <w:bookmarkStart w:id="403" w:name="_Toc150774638"/>
      <w:r/>
      <w:bookmarkStart w:id="404" w:name="_Toc150509289"/>
      <w:r/>
      <w:bookmarkStart w:id="405" w:name="_Toc520356163"/>
      <w:r/>
      <w:bookmarkStart w:id="406" w:name="_Toc264969228"/>
      <w:r/>
      <w:bookmarkStart w:id="407" w:name="_Toc226337234"/>
      <w:r/>
      <w:bookmarkStart w:id="408" w:name="_Toc150774743"/>
      <w:r/>
      <w:bookmarkStart w:id="409" w:name="_Toc305158880"/>
      <w:r/>
      <w:bookmarkStart w:id="410" w:name="_Toc151193852"/>
      <w:r/>
      <w:bookmarkStart w:id="411" w:name="_Toc151190165"/>
      <w:r/>
      <w:bookmarkStart w:id="412" w:name="_Toc265228376"/>
      <w:r/>
      <w:bookmarkStart w:id="413" w:name="_Toc151193708"/>
      <w:r/>
      <w:bookmarkStart w:id="414" w:name="_Toc226965811"/>
      <w:r/>
      <w:bookmarkStart w:id="415" w:name="_Toc226309782"/>
      <w:r/>
      <w:bookmarkStart w:id="416" w:name="_Toc150480776"/>
      <w:r/>
      <w:bookmarkStart w:id="417" w:name="_Toc151193780"/>
      <w:r/>
      <w:bookmarkStart w:id="418" w:name="_Toc305158806"/>
      <w:r/>
      <w:bookmarkStart w:id="419" w:name="_Toc142311040"/>
      <w:r/>
      <w:bookmarkStart w:id="420" w:name="_Toc127151538"/>
      <w:r>
        <w:rPr>
          <w:rFonts w:ascii="Times New Roman" w:hAnsi="Times New Roman" w:eastAsia="宋体"/>
          <w:sz w:val="28"/>
          <w:highlight w:val="none"/>
        </w:rPr>
        <w:t xml:space="preserve">五   </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sz w:val="28"/>
          <w:highlight w:val="none"/>
        </w:rPr>
        <w:t xml:space="preserve">评审</w:t>
      </w:r>
      <w:r/>
    </w:p>
    <w:p>
      <w:pPr>
        <w:numPr>
          <w:ilvl w:val="0"/>
          <w:numId w:val="0"/>
        </w:numPr>
        <w:spacing w:line="360" w:lineRule="auto"/>
        <w:tabs>
          <w:tab w:val="left" w:pos="360" w:leader="none"/>
        </w:tabs>
        <w:rPr>
          <w:color w:val="auto"/>
          <w:sz w:val="24"/>
          <w:highlight w:val="none"/>
        </w:rPr>
        <w:outlineLvl w:val="1"/>
      </w:pPr>
      <w:r/>
      <w:bookmarkStart w:id="421" w:name="_Toc520356169"/>
      <w:r>
        <w:rPr>
          <w:rFonts w:hint="eastAsia"/>
          <w:color w:val="auto"/>
          <w:sz w:val="24"/>
          <w:highlight w:val="none"/>
          <w:lang w:val="en-US" w:eastAsia="zh-CN"/>
        </w:rPr>
        <w:t xml:space="preserve">17  </w:t>
      </w: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17.1</w:t>
      </w:r>
      <w:r>
        <w:rPr>
          <w:rFonts w:hint="eastAsia"/>
          <w:color w:val="auto"/>
          <w:sz w:val="24"/>
          <w:highlight w:val="none"/>
        </w:rPr>
        <w:t xml:space="preserve">采购人或采购代理机构将按竞争性磋商文件的规定，在响应文件提交截止时间的同一时间和竞争性磋商文件预先确定的地点开启响应文件</w:t>
      </w:r>
      <w:r>
        <w:rPr>
          <w:color w:val="auto"/>
          <w:sz w:val="24"/>
          <w:highlight w:val="none"/>
        </w:rPr>
        <w:t xml:space="preserve">。</w:t>
      </w:r>
      <w:r/>
    </w:p>
    <w:p>
      <w:pPr>
        <w:numPr>
          <w:ilvl w:val="0"/>
          <w:numId w:val="0"/>
        </w:numPr>
        <w:spacing w:line="360" w:lineRule="auto"/>
        <w:tabs>
          <w:tab w:val="left" w:pos="1080" w:leader="none"/>
          <w:tab w:val="left" w:pos="2014" w:leader="none"/>
        </w:tabs>
        <w:rPr>
          <w:rFonts w:hint="default"/>
          <w:color w:val="auto"/>
          <w:sz w:val="24"/>
          <w:highlight w:val="none"/>
          <w:lang w:val="en-US" w:eastAsia="zh-CN"/>
        </w:rPr>
      </w:pPr>
      <w:r>
        <w:rPr>
          <w:rFonts w:hint="eastAsia"/>
          <w:color w:val="auto"/>
          <w:sz w:val="24"/>
          <w:highlight w:val="none"/>
          <w:lang w:val="en-US" w:eastAsia="zh-CN"/>
        </w:rPr>
        <w:t xml:space="preserve">17.2本项目采用不见面交易模式，使用“苏采云”在线进行解密。供应商应在规定的时间内对响应文件进行解密，因非系统原因导致的解密失败，视为</w:t>
      </w:r>
      <w:r>
        <w:rPr>
          <w:rFonts w:hint="eastAsia"/>
          <w:b/>
          <w:bCs/>
          <w:color w:val="auto"/>
          <w:sz w:val="24"/>
          <w:highlight w:val="none"/>
          <w:lang w:val="en-US" w:eastAsia="zh-CN"/>
        </w:rPr>
        <w:t xml:space="preserve">响应无效</w:t>
      </w:r>
      <w:r>
        <w:rPr>
          <w:rFonts w:hint="eastAsia"/>
          <w:color w:val="auto"/>
          <w:sz w:val="24"/>
          <w:highlight w:val="none"/>
          <w:lang w:val="en-US" w:eastAsia="zh-CN"/>
        </w:rPr>
        <w:t xml:space="preserve">。</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17.3</w:t>
      </w:r>
      <w:r>
        <w:rPr>
          <w:rFonts w:hint="eastAsia"/>
          <w:color w:val="auto"/>
          <w:sz w:val="24"/>
          <w:highlight w:val="none"/>
        </w:rPr>
        <w:t xml:space="preserve">供应商不足3家的，不予解密</w:t>
      </w:r>
      <w:r>
        <w:rPr>
          <w:color w:val="auto"/>
          <w:sz w:val="24"/>
          <w:highlight w:val="none"/>
        </w:rPr>
        <w:t xml:space="preserve">。</w:t>
      </w:r>
      <w:r/>
    </w:p>
    <w:p>
      <w:pPr>
        <w:numPr>
          <w:ilvl w:val="0"/>
          <w:numId w:val="0"/>
        </w:numPr>
        <w:spacing w:line="360" w:lineRule="auto"/>
        <w:tabs>
          <w:tab w:val="left" w:pos="1080" w:leader="none"/>
          <w:tab w:val="left" w:pos="2014" w:leader="none"/>
        </w:tabs>
        <w:rPr>
          <w:rFonts w:hint="eastAsia"/>
          <w:color w:val="auto"/>
          <w:sz w:val="24"/>
          <w:highlight w:val="none"/>
        </w:rPr>
      </w:pPr>
      <w:r/>
      <w:bookmarkStart w:id="422" w:name="_Toc520356165"/>
      <w:r>
        <w:rPr>
          <w:rFonts w:hint="eastAsia"/>
          <w:color w:val="auto"/>
          <w:sz w:val="24"/>
          <w:highlight w:val="none"/>
          <w:lang w:val="en-US" w:eastAsia="zh-CN"/>
        </w:rPr>
        <w:t xml:space="preserve">17.4</w:t>
      </w:r>
      <w:r>
        <w:rPr>
          <w:color w:val="auto"/>
          <w:sz w:val="24"/>
          <w:highlight w:val="none"/>
        </w:rPr>
        <w:t xml:space="preserve">本项目不公开报价。</w:t>
      </w:r>
      <w:bookmarkEnd w:id="422"/>
      <w:r/>
      <w:r/>
    </w:p>
    <w:p>
      <w:pPr>
        <w:numPr>
          <w:ilvl w:val="0"/>
          <w:numId w:val="0"/>
        </w:numPr>
        <w:spacing w:line="360" w:lineRule="auto"/>
        <w:tabs>
          <w:tab w:val="left" w:pos="360" w:leader="none"/>
        </w:tabs>
        <w:rPr>
          <w:rFonts w:hint="eastAsia"/>
          <w:color w:val="auto"/>
          <w:sz w:val="24"/>
          <w:highlight w:val="none"/>
          <w:lang w:val="en-US" w:eastAsia="zh-CN"/>
        </w:rPr>
        <w:outlineLvl w:val="1"/>
      </w:pPr>
      <w:r>
        <w:rPr>
          <w:rFonts w:hint="eastAsia"/>
          <w:color w:val="auto"/>
          <w:sz w:val="24"/>
          <w:highlight w:val="none"/>
          <w:lang w:val="en-US" w:eastAsia="zh-CN"/>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62"/>
        <w:pageBreakBefore w:val="0"/>
        <w:spacing w:before="0" w:after="0" w:line="360" w:lineRule="auto"/>
        <w:widowControl w:val="off"/>
        <w:rPr>
          <w:rFonts w:hint="eastAsia"/>
          <w:b w:val="0"/>
          <w:bCs/>
          <w:color w:val="auto"/>
          <w:highlight w:val="none"/>
          <w:u w:val="none"/>
          <w:lang w:val="en-US" w:eastAsia="zh-CN"/>
        </w:rPr>
      </w:pPr>
      <w:r>
        <w:rPr>
          <w:rFonts w:hint="eastAsia"/>
          <w:b w:val="0"/>
          <w:bCs/>
          <w:color w:val="auto"/>
          <w:sz w:val="24"/>
          <w:highlight w:val="none"/>
          <w:u w:val="none"/>
          <w:lang w:val="en-US" w:eastAsia="zh-CN"/>
        </w:rPr>
        <w:t xml:space="preserve">17.6</w:t>
      </w:r>
      <w:r>
        <w:rPr>
          <w:rFonts w:hint="eastAsia"/>
          <w:b w:val="0"/>
          <w:bCs/>
          <w:color w:val="auto"/>
          <w:highlight w:val="none"/>
          <w:u w:val="none"/>
          <w:lang w:val="en-US" w:eastAsia="zh-CN"/>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62"/>
        <w:pageBreakBefore w:val="0"/>
        <w:spacing w:before="0" w:after="0" w:line="360" w:lineRule="auto"/>
        <w:widowControl w:val="off"/>
        <w:rPr>
          <w:rFonts w:hint="eastAsia"/>
          <w:b w:val="0"/>
          <w:bCs/>
          <w:color w:val="auto"/>
          <w:highlight w:val="none"/>
          <w:u w:val="none"/>
          <w:lang w:val="en-US" w:eastAsia="zh-CN"/>
        </w:rPr>
      </w:pPr>
      <w:r>
        <w:rPr>
          <w:rFonts w:hint="default" w:ascii="Times New Roman" w:hAnsi="Times New Roman" w:cs="Times New Roman"/>
          <w:b w:val="0"/>
          <w:bCs/>
          <w:color w:val="auto"/>
          <w:highlight w:val="none"/>
          <w:u w:val="none"/>
          <w:lang w:val="en-US" w:eastAsia="zh-CN"/>
        </w:rPr>
        <w:t xml:space="preserve">17.7</w:t>
      </w:r>
      <w:r>
        <w:rPr>
          <w:rFonts w:hint="eastAsia"/>
          <w:b w:val="0"/>
          <w:bCs/>
          <w:color w:val="auto"/>
          <w:highlight w:val="none"/>
          <w:u w:val="none"/>
          <w:lang w:val="en-US" w:eastAsia="zh-CN"/>
        </w:rPr>
        <w:t xml:space="preserve">如果在采购活动过程中出现以下情形，导致““苏采云””系统无法正常运行，或者无法保证本项目采购活动的公平、公正和安全时，代理机构可以延缓或者暂停采购活动，情况严重的可以终止采购活动：</w:t>
      </w:r>
      <w:r/>
    </w:p>
    <w:p>
      <w:pPr>
        <w:pStyle w:val="962"/>
        <w:pageBreakBefore w:val="0"/>
        <w:spacing w:before="0" w:after="0" w:line="360" w:lineRule="auto"/>
        <w:widowControl w:val="off"/>
        <w:rPr>
          <w:rFonts w:hint="eastAsia"/>
          <w:b w:val="0"/>
          <w:bCs/>
          <w:color w:val="auto"/>
          <w:highlight w:val="none"/>
          <w:u w:val="none"/>
          <w:lang w:val="en-US" w:eastAsia="zh-CN"/>
        </w:rPr>
      </w:pPr>
      <w:r>
        <w:rPr>
          <w:rFonts w:hint="eastAsia"/>
          <w:b w:val="0"/>
          <w:bCs/>
          <w:color w:val="auto"/>
          <w:highlight w:val="none"/>
          <w:u w:val="none"/>
          <w:lang w:val="en-US" w:eastAsia="zh-CN"/>
        </w:rPr>
        <w:t xml:space="preserve">1)平台系统发生故障而无法登录访问的；</w:t>
      </w:r>
      <w:r/>
    </w:p>
    <w:p>
      <w:pPr>
        <w:pStyle w:val="962"/>
        <w:pageBreakBefore w:val="0"/>
        <w:spacing w:before="0" w:after="0" w:line="360" w:lineRule="auto"/>
        <w:widowControl w:val="off"/>
        <w:rPr>
          <w:rFonts w:hint="eastAsia"/>
          <w:b w:val="0"/>
          <w:bCs/>
          <w:color w:val="auto"/>
          <w:highlight w:val="none"/>
          <w:u w:val="none"/>
          <w:lang w:val="en-US" w:eastAsia="zh-CN"/>
        </w:rPr>
      </w:pPr>
      <w:r>
        <w:rPr>
          <w:rFonts w:hint="eastAsia"/>
          <w:b w:val="0"/>
          <w:bCs/>
          <w:color w:val="auto"/>
          <w:highlight w:val="none"/>
          <w:u w:val="none"/>
          <w:lang w:val="en-US" w:eastAsia="zh-CN"/>
        </w:rPr>
        <w:t xml:space="preserve">2)平台系统应用或数据库出现错误，不能进行正常操作的；</w:t>
      </w:r>
      <w:r/>
    </w:p>
    <w:p>
      <w:pPr>
        <w:pStyle w:val="962"/>
        <w:pageBreakBefore w:val="0"/>
        <w:spacing w:before="0" w:after="0" w:line="360" w:lineRule="auto"/>
        <w:widowControl w:val="off"/>
        <w:rPr>
          <w:rFonts w:hint="eastAsia"/>
          <w:b w:val="0"/>
          <w:bCs/>
          <w:color w:val="auto"/>
          <w:highlight w:val="none"/>
          <w:u w:val="none"/>
          <w:lang w:val="en-US" w:eastAsia="zh-CN"/>
        </w:rPr>
      </w:pPr>
      <w:r>
        <w:rPr>
          <w:rFonts w:hint="eastAsia"/>
          <w:b w:val="0"/>
          <w:bCs/>
          <w:color w:val="auto"/>
          <w:highlight w:val="none"/>
          <w:u w:val="none"/>
          <w:lang w:val="en-US" w:eastAsia="zh-CN"/>
        </w:rPr>
        <w:t xml:space="preserve">3)平台系统发现严重安全漏洞，有潜在泄密危险的；</w:t>
      </w:r>
      <w:r/>
    </w:p>
    <w:p>
      <w:pPr>
        <w:pStyle w:val="962"/>
        <w:pageBreakBefore w:val="0"/>
        <w:spacing w:before="0" w:after="0" w:line="360" w:lineRule="auto"/>
        <w:widowControl w:val="off"/>
        <w:rPr>
          <w:rFonts w:hint="eastAsia"/>
          <w:b w:val="0"/>
          <w:bCs/>
          <w:color w:val="auto"/>
          <w:highlight w:val="none"/>
          <w:u w:val="none"/>
          <w:lang w:val="en-US" w:eastAsia="zh-CN"/>
        </w:rPr>
      </w:pPr>
      <w:r>
        <w:rPr>
          <w:rFonts w:hint="eastAsia"/>
          <w:b w:val="0"/>
          <w:bCs/>
          <w:color w:val="auto"/>
          <w:highlight w:val="none"/>
          <w:u w:val="none"/>
          <w:lang w:val="en-US" w:eastAsia="zh-CN"/>
        </w:rPr>
        <w:t xml:space="preserve">4)病毒发作导致平台系统不能进行正常操作的；</w:t>
      </w:r>
      <w:r/>
    </w:p>
    <w:p>
      <w:pPr>
        <w:pStyle w:val="962"/>
        <w:pageBreakBefore w:val="0"/>
        <w:spacing w:before="0" w:after="0" w:line="360" w:lineRule="auto"/>
        <w:widowControl w:val="off"/>
        <w:rPr>
          <w:rFonts w:hint="eastAsia"/>
          <w:b w:val="0"/>
          <w:bCs/>
          <w:color w:val="auto"/>
          <w:highlight w:val="none"/>
          <w:u w:val="none"/>
          <w:lang w:val="en-US" w:eastAsia="zh-CN"/>
        </w:rPr>
      </w:pPr>
      <w:r>
        <w:rPr>
          <w:rFonts w:hint="eastAsia"/>
          <w:b w:val="0"/>
          <w:bCs/>
          <w:color w:val="auto"/>
          <w:highlight w:val="none"/>
          <w:u w:val="none"/>
          <w:lang w:val="en-US" w:eastAsia="zh-CN"/>
        </w:rPr>
        <w:t xml:space="preserve">5)其他无法保证本次采购活动的公平、公正和安全的情况。</w:t>
      </w:r>
      <w:r/>
    </w:p>
    <w:p>
      <w:pPr>
        <w:pStyle w:val="962"/>
        <w:pageBreakBefore w:val="0"/>
        <w:spacing w:before="0" w:after="0" w:line="360" w:lineRule="auto"/>
        <w:widowControl w:val="off"/>
        <w:rPr>
          <w:rFonts w:hint="default"/>
          <w:b w:val="0"/>
          <w:bCs/>
          <w:color w:val="auto"/>
          <w:highlight w:val="none"/>
          <w:u w:val="none"/>
          <w:lang w:val="en-US" w:eastAsia="zh-CN"/>
        </w:rPr>
      </w:pPr>
      <w:r>
        <w:rPr>
          <w:rFonts w:hint="eastAsia"/>
          <w:b w:val="0"/>
          <w:bCs/>
          <w:color w:val="auto"/>
          <w:highlight w:val="none"/>
          <w:u w:val="none"/>
          <w:lang w:val="en-US" w:eastAsia="zh-CN"/>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18  </w:t>
      </w:r>
      <w:r>
        <w:rPr>
          <w:color w:val="auto"/>
          <w:sz w:val="24"/>
          <w:highlight w:val="none"/>
        </w:rPr>
        <w:t xml:space="preserve">磋商小组</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18.1</w:t>
      </w:r>
      <w:r>
        <w:rPr>
          <w:color w:val="auto"/>
          <w:sz w:val="24"/>
          <w:highlight w:val="none"/>
        </w:rPr>
        <w:t xml:space="preserve">磋商小组根据政府采购有关规定和本次采购项目的特点进行组建，并负责具体评审事务，独立履行职责。</w:t>
      </w:r>
      <w:bookmarkStart w:id="423" w:name="_Toc520356166"/>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18.2</w:t>
      </w: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423"/>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19  </w:t>
      </w:r>
      <w:r>
        <w:rPr>
          <w:color w:val="auto"/>
          <w:sz w:val="24"/>
          <w:highlight w:val="none"/>
        </w:rPr>
        <w:t xml:space="preserve">评审方法和评审标准</w:t>
      </w:r>
      <w:r/>
    </w:p>
    <w:p>
      <w:pPr>
        <w:numPr>
          <w:ilvl w:val="0"/>
          <w:numId w:val="0"/>
        </w:numPr>
        <w:spacing w:line="360" w:lineRule="auto"/>
        <w:tabs>
          <w:tab w:val="left" w:pos="1080" w:leader="none"/>
          <w:tab w:val="left" w:pos="2014" w:leader="none"/>
        </w:tabs>
        <w:rPr>
          <w:sz w:val="24"/>
          <w:highlight w:val="none"/>
        </w:rPr>
      </w:pPr>
      <w:r>
        <w:rPr>
          <w:rFonts w:hint="eastAsia"/>
          <w:color w:val="auto"/>
          <w:sz w:val="24"/>
          <w:highlight w:val="none"/>
          <w:lang w:val="en-US" w:eastAsia="zh-CN"/>
        </w:rPr>
        <w:t xml:space="preserve">19.1</w:t>
      </w:r>
      <w:r>
        <w:rPr>
          <w:color w:val="auto"/>
          <w:sz w:val="24"/>
          <w:highlight w:val="none"/>
        </w:rPr>
        <w:t xml:space="preserve">见第三章《评审方法和评审标准》。</w:t>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pStyle w:val="962"/>
        <w:rPr>
          <w:sz w:val="24"/>
          <w:highlight w:val="none"/>
        </w:rPr>
      </w:pPr>
      <w:r>
        <w:rPr>
          <w:sz w:val="24"/>
          <w:highlight w:val="none"/>
        </w:rPr>
      </w:r>
      <w:r/>
    </w:p>
    <w:p>
      <w:pPr>
        <w:rPr>
          <w:sz w:val="24"/>
          <w:highlight w:val="none"/>
        </w:rPr>
      </w:pPr>
      <w:r>
        <w:rPr>
          <w:sz w:val="24"/>
          <w:highlight w:val="none"/>
        </w:rPr>
      </w:r>
      <w:r/>
    </w:p>
    <w:p>
      <w:pPr>
        <w:pStyle w:val="962"/>
        <w:rPr>
          <w:sz w:val="24"/>
          <w:highlight w:val="none"/>
        </w:rPr>
      </w:pPr>
      <w:r>
        <w:rPr>
          <w:sz w:val="24"/>
          <w:highlight w:val="none"/>
        </w:rPr>
      </w:r>
      <w:r/>
    </w:p>
    <w:p>
      <w:pPr>
        <w:rPr>
          <w:sz w:val="24"/>
          <w:highlight w:val="none"/>
        </w:rPr>
      </w:pPr>
      <w:r>
        <w:rPr>
          <w:sz w:val="24"/>
          <w:highlight w:val="none"/>
        </w:rPr>
      </w:r>
      <w:r/>
    </w:p>
    <w:p>
      <w:pPr>
        <w:pStyle w:val="962"/>
        <w:rPr>
          <w:sz w:val="24"/>
          <w:highlight w:val="none"/>
        </w:rPr>
      </w:pPr>
      <w:r>
        <w:rPr>
          <w:sz w:val="24"/>
          <w:highlight w:val="none"/>
        </w:rPr>
      </w:r>
      <w:r/>
    </w:p>
    <w:p>
      <w:pPr>
        <w:rPr>
          <w:sz w:val="24"/>
          <w:highlight w:val="none"/>
        </w:rPr>
      </w:pPr>
      <w:r>
        <w:rPr>
          <w:sz w:val="24"/>
          <w:highlight w:val="none"/>
        </w:rPr>
      </w:r>
      <w:r/>
    </w:p>
    <w:p>
      <w:pPr>
        <w:pStyle w:val="962"/>
      </w:p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spacing w:line="360" w:lineRule="auto"/>
        <w:tabs>
          <w:tab w:val="left" w:pos="360" w:leader="none"/>
          <w:tab w:val="left" w:pos="1080" w:leader="none"/>
        </w:tabs>
        <w:rPr>
          <w:sz w:val="24"/>
          <w:highlight w:val="none"/>
        </w:rPr>
      </w:pPr>
      <w:r>
        <w:rPr>
          <w:sz w:val="24"/>
          <w:highlight w:val="none"/>
        </w:rPr>
      </w:r>
      <w:r/>
    </w:p>
    <w:p>
      <w:pPr>
        <w:pStyle w:val="961"/>
        <w:spacing w:before="0" w:line="360" w:lineRule="auto"/>
        <w:rPr>
          <w:rFonts w:ascii="Times New Roman" w:hAnsi="Times New Roman" w:eastAsia="宋体"/>
          <w:sz w:val="28"/>
          <w:highlight w:val="none"/>
        </w:rPr>
      </w:pPr>
      <w:r/>
      <w:bookmarkStart w:id="424" w:name="_Toc151190172"/>
      <w:r/>
      <w:bookmarkStart w:id="425" w:name="_Toc150774750"/>
      <w:r/>
      <w:bookmarkStart w:id="426" w:name="_Toc264969235"/>
      <w:r/>
      <w:bookmarkStart w:id="427" w:name="_Toc151193859"/>
      <w:r/>
      <w:bookmarkStart w:id="428" w:name="_Toc142311047"/>
      <w:r/>
      <w:bookmarkStart w:id="429" w:name="_Toc151193715"/>
      <w:r/>
      <w:bookmarkStart w:id="430" w:name="_Toc151193787"/>
      <w:r/>
      <w:bookmarkStart w:id="431" w:name="_Toc127151545"/>
      <w:r/>
      <w:bookmarkStart w:id="432" w:name="_Toc305158887"/>
      <w:r/>
      <w:bookmarkStart w:id="433" w:name="_Toc150509296"/>
      <w:r/>
      <w:bookmarkStart w:id="434" w:name="_Toc195842910"/>
      <w:r/>
      <w:bookmarkStart w:id="435" w:name="_Toc151193643"/>
      <w:r/>
      <w:bookmarkStart w:id="436" w:name="_Toc151193933"/>
      <w:r/>
      <w:bookmarkStart w:id="437" w:name="_Toc265228383"/>
      <w:r/>
      <w:bookmarkStart w:id="438" w:name="_Toc226309789"/>
      <w:r/>
      <w:bookmarkStart w:id="439" w:name="_Toc226337241"/>
      <w:r/>
      <w:bookmarkStart w:id="440" w:name="_Toc305158813"/>
      <w:r/>
      <w:bookmarkStart w:id="441" w:name="_Toc226965735"/>
      <w:r/>
      <w:bookmarkStart w:id="442" w:name="_Toc226965818"/>
      <w:r/>
      <w:bookmarkStart w:id="443" w:name="_Toc150480783"/>
      <w:r/>
      <w:bookmarkStart w:id="444" w:name="_Toc150774645"/>
      <w:r>
        <w:rPr>
          <w:rFonts w:ascii="Times New Roman" w:hAnsi="Times New Roman" w:eastAsia="宋体"/>
          <w:sz w:val="28"/>
          <w:highlight w:val="none"/>
        </w:rPr>
        <w:t xml:space="preserve">六   </w:t>
      </w:r>
      <w:bookmarkEnd w:id="421"/>
      <w:r>
        <w:rPr>
          <w:rFonts w:ascii="Times New Roman" w:hAnsi="Times New Roman" w:eastAsia="宋体"/>
          <w:sz w:val="28"/>
          <w:highlight w:val="none"/>
        </w:rPr>
        <w:t xml:space="preserve">确定</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ascii="Times New Roman" w:hAnsi="Times New Roman" w:eastAsia="宋体"/>
          <w:sz w:val="28"/>
          <w:highlight w:val="none"/>
        </w:rPr>
        <w:t xml:space="preserve">成交</w:t>
      </w:r>
      <w:r/>
    </w:p>
    <w:p>
      <w:pPr>
        <w:numPr>
          <w:ilvl w:val="0"/>
          <w:numId w:val="0"/>
        </w:numPr>
        <w:spacing w:line="360" w:lineRule="auto"/>
        <w:tabs>
          <w:tab w:val="left" w:pos="360" w:leader="none"/>
        </w:tabs>
        <w:rPr>
          <w:color w:val="auto"/>
          <w:sz w:val="24"/>
          <w:highlight w:val="none"/>
        </w:rPr>
        <w:outlineLvl w:val="1"/>
      </w:pPr>
      <w:r/>
      <w:bookmarkStart w:id="445" w:name="_Toc264969237"/>
      <w:r/>
      <w:bookmarkStart w:id="446" w:name="_Toc150774647"/>
      <w:r/>
      <w:bookmarkStart w:id="447" w:name="_Toc151193645"/>
      <w:r/>
      <w:bookmarkStart w:id="448" w:name="_Toc164229242"/>
      <w:r/>
      <w:bookmarkStart w:id="449" w:name="_Toc127151748"/>
      <w:r/>
      <w:bookmarkStart w:id="450" w:name="_Toc195842912"/>
      <w:r/>
      <w:bookmarkStart w:id="451" w:name="_Toc265228385"/>
      <w:r/>
      <w:bookmarkStart w:id="452" w:name="_Toc127151547"/>
      <w:r/>
      <w:bookmarkStart w:id="453" w:name="_Toc305158815"/>
      <w:r/>
      <w:bookmarkStart w:id="454" w:name="_Toc226965820"/>
      <w:r/>
      <w:bookmarkStart w:id="455" w:name="_Toc150509298"/>
      <w:r/>
      <w:bookmarkStart w:id="456" w:name="_Toc149720840"/>
      <w:r/>
      <w:bookmarkStart w:id="457" w:name="_Toc226965737"/>
      <w:r/>
      <w:bookmarkStart w:id="458" w:name="_Toc164608661"/>
      <w:r/>
      <w:bookmarkStart w:id="459" w:name="_Toc150774752"/>
      <w:r/>
      <w:bookmarkStart w:id="460" w:name="_Toc164229388"/>
      <w:r/>
      <w:bookmarkStart w:id="461" w:name="_Toc305158889"/>
      <w:r/>
      <w:bookmarkStart w:id="462" w:name="_Toc127161461"/>
      <w:r/>
      <w:bookmarkStart w:id="463" w:name="_Toc151193717"/>
      <w:r/>
      <w:bookmarkStart w:id="464" w:name="_Toc151193935"/>
      <w:r/>
      <w:bookmarkStart w:id="465" w:name="_Toc164351641"/>
      <w:r/>
      <w:bookmarkStart w:id="466" w:name="_Toc151193861"/>
      <w:r/>
      <w:bookmarkStart w:id="467" w:name="_Toc142311049"/>
      <w:r/>
      <w:bookmarkStart w:id="468" w:name="_Toc164608816"/>
      <w:r/>
      <w:bookmarkStart w:id="469" w:name="_Toc151193789"/>
      <w:r/>
      <w:bookmarkStart w:id="470" w:name="_Toc151190174"/>
      <w:r/>
      <w:bookmarkStart w:id="471" w:name="_Toc150480785"/>
      <w:r/>
      <w:bookmarkStart w:id="472" w:name="_Toc226309791"/>
      <w:r/>
      <w:bookmarkStart w:id="473" w:name="_Toc226337243"/>
      <w:r>
        <w:rPr>
          <w:rFonts w:hint="eastAsia"/>
          <w:color w:val="auto"/>
          <w:sz w:val="24"/>
          <w:highlight w:val="none"/>
          <w:lang w:val="en-US" w:eastAsia="zh-CN"/>
        </w:rPr>
        <w:t xml:space="preserve">20  </w:t>
      </w:r>
      <w:r>
        <w:rPr>
          <w:color w:val="auto"/>
          <w:sz w:val="24"/>
          <w:highlight w:val="none"/>
        </w:rPr>
        <w:t xml:space="preserve">确定成交供应商</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20.1</w:t>
      </w: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0"/>
        </w:numPr>
        <w:spacing w:line="360" w:lineRule="auto"/>
        <w:tabs>
          <w:tab w:val="left" w:pos="360" w:leader="none"/>
        </w:tabs>
        <w:rPr>
          <w:color w:val="auto"/>
          <w:sz w:val="24"/>
          <w:highlight w:val="none"/>
        </w:rPr>
        <w:outlineLvl w:val="1"/>
      </w:pPr>
      <w:r/>
      <w:bookmarkStart w:id="474" w:name="_Toc305158817"/>
      <w:r/>
      <w:bookmarkStart w:id="475" w:name="_Toc305158891"/>
      <w:r/>
      <w:bookmarkStart w:id="476" w:name="_Toc164608818"/>
      <w:r/>
      <w:bookmarkStart w:id="477" w:name="_Toc142311051"/>
      <w:r/>
      <w:bookmarkStart w:id="478" w:name="_Toc151193863"/>
      <w:r/>
      <w:bookmarkStart w:id="479" w:name="_Toc195842914"/>
      <w:r/>
      <w:bookmarkStart w:id="480" w:name="_Toc150774754"/>
      <w:r/>
      <w:bookmarkStart w:id="481" w:name="_Toc150774649"/>
      <w:r/>
      <w:bookmarkStart w:id="482" w:name="_Toc127151549"/>
      <w:r/>
      <w:bookmarkStart w:id="483" w:name="_Toc151193937"/>
      <w:r/>
      <w:bookmarkStart w:id="484" w:name="_Toc151193719"/>
      <w:r/>
      <w:bookmarkStart w:id="485" w:name="_Toc265228387"/>
      <w:r/>
      <w:bookmarkStart w:id="486" w:name="_Toc150509300"/>
      <w:r/>
      <w:bookmarkStart w:id="487" w:name="_Toc164351643"/>
      <w:r/>
      <w:bookmarkStart w:id="488" w:name="_Toc127161463"/>
      <w:r/>
      <w:bookmarkStart w:id="489" w:name="_Toc151190176"/>
      <w:r/>
      <w:bookmarkStart w:id="490" w:name="_Toc127151750"/>
      <w:r/>
      <w:bookmarkStart w:id="491" w:name="_Toc149720842"/>
      <w:r/>
      <w:bookmarkStart w:id="492" w:name="_Toc226337245"/>
      <w:r/>
      <w:bookmarkStart w:id="493" w:name="_Toc151193791"/>
      <w:r/>
      <w:bookmarkStart w:id="494" w:name="_Toc151193647"/>
      <w:r/>
      <w:bookmarkStart w:id="495" w:name="_Toc226309793"/>
      <w:r/>
      <w:bookmarkStart w:id="496" w:name="_Toc164229244"/>
      <w:r/>
      <w:bookmarkStart w:id="497" w:name="_Toc264969239"/>
      <w:r/>
      <w:bookmarkStart w:id="498" w:name="_Toc164608663"/>
      <w:r/>
      <w:bookmarkStart w:id="499" w:name="_Toc226965739"/>
      <w:r/>
      <w:bookmarkStart w:id="500" w:name="_Toc164229390"/>
      <w:r/>
      <w:bookmarkStart w:id="501" w:name="_Toc150480787"/>
      <w:r/>
      <w:bookmarkStart w:id="502" w:name="_Toc226965822"/>
      <w:r/>
      <w:bookmarkStart w:id="503" w:name="_Toc520356176"/>
      <w:r/>
      <w:bookmarkStart w:id="504" w:name="_Ref467307090"/>
      <w:r/>
      <w:bookmarkStart w:id="505" w:name="_Ref467306425"/>
      <w:r>
        <w:rPr>
          <w:rFonts w:hint="eastAsia"/>
          <w:color w:val="auto"/>
          <w:sz w:val="24"/>
          <w:highlight w:val="none"/>
          <w:lang w:val="en-US" w:eastAsia="zh-CN"/>
        </w:rPr>
        <w:t xml:space="preserve">21  </w:t>
      </w:r>
      <w:r>
        <w:rPr>
          <w:color w:val="auto"/>
          <w:sz w:val="24"/>
          <w:highlight w:val="none"/>
        </w:rPr>
        <w:t xml:space="preserve">成交公告与成交通知书</w:t>
      </w:r>
      <w:bookmarkEnd w:id="474"/>
      <w:r/>
      <w:bookmarkEnd w:id="475"/>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21.1</w:t>
      </w:r>
      <w:r>
        <w:rPr>
          <w:color w:val="auto"/>
          <w:sz w:val="24"/>
          <w:highlight w:val="none"/>
        </w:rPr>
        <w:t xml:space="preserve">采购人或采购代理机构将</w:t>
      </w:r>
      <w:r>
        <w:rPr>
          <w:color w:val="auto"/>
          <w:sz w:val="24"/>
          <w:highlight w:val="none"/>
        </w:rPr>
        <w:t xml:space="preserve">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w:t>
      </w:r>
      <w:r>
        <w:rPr>
          <w:color w:val="auto"/>
          <w:sz w:val="24"/>
          <w:highlight w:val="none"/>
        </w:rPr>
        <w:t xml:space="preserve">成交公告期限为1个工作日。</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21.2</w:t>
      </w: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22  </w:t>
      </w:r>
      <w:r>
        <w:rPr>
          <w:color w:val="auto"/>
          <w:sz w:val="24"/>
          <w:highlight w:val="none"/>
        </w:rPr>
        <w:t xml:space="preserve">终止</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22.1</w:t>
      </w: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22.1.1</w:t>
      </w:r>
      <w:r>
        <w:rPr>
          <w:color w:val="auto"/>
          <w:sz w:val="24"/>
          <w:highlight w:val="none"/>
        </w:rPr>
        <w:t xml:space="preserve">因情况变化，不再符合规定的竞争性磋商采购方式适用情形的；</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22.1.2</w:t>
      </w:r>
      <w:r>
        <w:rPr>
          <w:color w:val="auto"/>
          <w:sz w:val="24"/>
          <w:highlight w:val="none"/>
        </w:rPr>
        <w:t xml:space="preserve">出现影响采购公正的违法、违规行为的；</w:t>
      </w:r>
      <w:r/>
    </w:p>
    <w:p>
      <w:pPr>
        <w:numPr>
          <w:ilvl w:val="0"/>
          <w:numId w:val="0"/>
        </w:numPr>
        <w:spacing w:line="360" w:lineRule="auto"/>
        <w:rPr>
          <w:rFonts w:hint="eastAsia"/>
          <w:color w:val="auto"/>
          <w:sz w:val="24"/>
          <w:highlight w:val="none"/>
        </w:rPr>
      </w:pPr>
      <w:r>
        <w:rPr>
          <w:rFonts w:hint="eastAsia"/>
          <w:color w:val="auto"/>
          <w:sz w:val="24"/>
          <w:szCs w:val="20"/>
          <w:highlight w:val="none"/>
          <w:lang w:val="en-US" w:eastAsia="zh-CN"/>
        </w:rPr>
        <w:t xml:space="preserve">22.1.3</w:t>
      </w: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numPr>
          <w:ilvl w:val="0"/>
          <w:numId w:val="0"/>
        </w:numPr>
        <w:spacing w:line="360" w:lineRule="auto"/>
        <w:tabs>
          <w:tab w:val="left" w:pos="360" w:leader="none"/>
        </w:tabs>
        <w:rPr>
          <w:rFonts w:hint="default"/>
          <w:color w:val="auto"/>
          <w:sz w:val="24"/>
          <w:highlight w:val="none"/>
          <w:lang w:val="en-US" w:eastAsia="zh-CN"/>
        </w:rPr>
        <w:outlineLvl w:val="1"/>
      </w:pPr>
      <w:r/>
      <w:bookmarkStart w:id="506" w:name="_Toc150774650"/>
      <w:r/>
      <w:bookmarkStart w:id="507" w:name="_Toc195842915"/>
      <w:r/>
      <w:bookmarkStart w:id="508" w:name="_Toc264969240"/>
      <w:r/>
      <w:bookmarkStart w:id="509" w:name="_Toc164229391"/>
      <w:r/>
      <w:bookmarkStart w:id="510" w:name="_Toc151193938"/>
      <w:r/>
      <w:bookmarkStart w:id="511" w:name="_Toc226965740"/>
      <w:r/>
      <w:bookmarkStart w:id="512" w:name="_Toc164351644"/>
      <w:r/>
      <w:bookmarkStart w:id="513" w:name="_Toc150480788"/>
      <w:r/>
      <w:bookmarkStart w:id="514" w:name="_Toc151193864"/>
      <w:r/>
      <w:bookmarkStart w:id="515" w:name="_Toc164608664"/>
      <w:r/>
      <w:bookmarkStart w:id="516" w:name="_Toc164229245"/>
      <w:r/>
      <w:bookmarkStart w:id="517" w:name="_Ref467306978"/>
      <w:r/>
      <w:bookmarkStart w:id="518" w:name="_Toc520356175"/>
      <w:r/>
      <w:bookmarkStart w:id="519" w:name="_Toc226309794"/>
      <w:r/>
      <w:bookmarkStart w:id="520" w:name="_Toc142311052"/>
      <w:r/>
      <w:bookmarkStart w:id="521" w:name="_Toc151193648"/>
      <w:r/>
      <w:bookmarkStart w:id="522" w:name="_Toc265228388"/>
      <w:r/>
      <w:bookmarkStart w:id="523" w:name="_Toc127151751"/>
      <w:r/>
      <w:bookmarkStart w:id="524" w:name="_Toc150509301"/>
      <w:r/>
      <w:bookmarkStart w:id="525" w:name="_Ref467307062"/>
      <w:r/>
      <w:bookmarkStart w:id="526" w:name="_Toc226965823"/>
      <w:r/>
      <w:bookmarkStart w:id="527" w:name="_Toc151193792"/>
      <w:r/>
      <w:bookmarkStart w:id="528" w:name="_Toc127151550"/>
      <w:r/>
      <w:bookmarkStart w:id="529" w:name="_Toc151190177"/>
      <w:r/>
      <w:bookmarkStart w:id="530" w:name="_Toc127161464"/>
      <w:r/>
      <w:bookmarkStart w:id="531" w:name="_Ref467306377"/>
      <w:r/>
      <w:bookmarkStart w:id="532" w:name="_Toc305158892"/>
      <w:r/>
      <w:bookmarkStart w:id="533" w:name="_Toc149720843"/>
      <w:r/>
      <w:bookmarkStart w:id="534" w:name="_Toc226337246"/>
      <w:r/>
      <w:bookmarkStart w:id="535" w:name="_Ref467307204"/>
      <w:r/>
      <w:bookmarkStart w:id="536" w:name="_Toc151193720"/>
      <w:r/>
      <w:bookmarkStart w:id="537" w:name="_Toc305158818"/>
      <w:r/>
      <w:bookmarkStart w:id="538" w:name="_Toc164608819"/>
      <w:r/>
      <w:bookmarkStart w:id="539" w:name="_Toc150774755"/>
      <w:r>
        <w:rPr>
          <w:rFonts w:hint="eastAsia"/>
          <w:color w:val="auto"/>
          <w:sz w:val="24"/>
          <w:highlight w:val="none"/>
          <w:lang w:val="en-US" w:eastAsia="zh-CN"/>
        </w:rPr>
        <w:t xml:space="preserve">22.1.4平台系统出现序号17.7的所述情形，情况严重且影响采购活动公平、公正性的。</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23  </w:t>
      </w:r>
      <w:r>
        <w:rPr>
          <w:color w:val="auto"/>
          <w:sz w:val="24"/>
          <w:highlight w:val="none"/>
        </w:rPr>
        <w:t xml:space="preserve">签订合同</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23.1</w:t>
      </w: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23.2</w:t>
      </w: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23.3</w:t>
      </w:r>
      <w:r>
        <w:rPr>
          <w:color w:val="auto"/>
          <w:sz w:val="24"/>
          <w:highlight w:val="none"/>
        </w:rPr>
        <w:t xml:space="preserve">联合体获得成交资格的，联合体各方应当共同与采购人签订合同，就成交项目向采购人承担连带责任。</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23.4</w:t>
      </w:r>
      <w:r>
        <w:rPr>
          <w:color w:val="auto"/>
          <w:sz w:val="24"/>
          <w:highlight w:val="none"/>
        </w:rPr>
        <w:t xml:space="preserve">政府采购合同不能转包。</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23.5</w:t>
      </w: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503"/>
      <w:r/>
      <w:bookmarkEnd w:id="504"/>
      <w:r/>
      <w:bookmarkEnd w:id="505"/>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24  </w:t>
      </w:r>
      <w:r>
        <w:rPr>
          <w:color w:val="auto"/>
          <w:sz w:val="24"/>
          <w:highlight w:val="none"/>
        </w:rPr>
        <w:t xml:space="preserve">询问与质疑</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24.1</w:t>
      </w:r>
      <w:r>
        <w:rPr>
          <w:color w:val="auto"/>
          <w:sz w:val="24"/>
          <w:highlight w:val="none"/>
        </w:rPr>
        <w:t xml:space="preserve">询问</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24.1.1</w:t>
      </w:r>
      <w:r>
        <w:rPr>
          <w:color w:val="auto"/>
          <w:sz w:val="24"/>
          <w:highlight w:val="none"/>
        </w:rPr>
        <w:t xml:space="preserve">供应商对政府采购活动事项有疑问的，可依法提出询问，并按《供应商须知资料表》载明的形式送达采购人或采购代理机构。</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24.1.2</w:t>
      </w:r>
      <w:r>
        <w:rPr>
          <w:color w:val="auto"/>
          <w:sz w:val="24"/>
          <w:highlight w:val="none"/>
        </w:rPr>
        <w:t xml:space="preserve">采购人或采购代理机构对供应商依法提出的询问，在3个工作日内作出答复，但答复的内容不得涉及商业秘密。</w:t>
      </w:r>
      <w:r/>
    </w:p>
    <w:p>
      <w:pPr>
        <w:numPr>
          <w:ilvl w:val="0"/>
          <w:numId w:val="0"/>
        </w:numPr>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24.2</w:t>
      </w:r>
      <w:r>
        <w:rPr>
          <w:color w:val="auto"/>
          <w:sz w:val="24"/>
          <w:highlight w:val="none"/>
        </w:rPr>
        <w:t xml:space="preserve">质疑</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24.2.1</w:t>
      </w: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0"/>
          <w:numId w:val="0"/>
        </w:numPr>
        <w:spacing w:line="360" w:lineRule="auto"/>
        <w:rPr>
          <w:color w:val="auto"/>
          <w:sz w:val="24"/>
          <w:highlight w:val="none"/>
        </w:rPr>
      </w:pPr>
      <w:r>
        <w:rPr>
          <w:rFonts w:hint="eastAsia"/>
          <w:b w:val="0"/>
          <w:bCs/>
          <w:color w:val="auto"/>
          <w:sz w:val="24"/>
          <w:highlight w:val="none"/>
          <w:lang w:val="en-US" w:eastAsia="zh-CN"/>
        </w:rPr>
        <w:t xml:space="preserve">24.2.2</w:t>
      </w: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24.2.3</w:t>
      </w:r>
      <w:r>
        <w:rPr>
          <w:color w:val="auto"/>
          <w:sz w:val="24"/>
          <w:highlight w:val="none"/>
        </w:rPr>
        <w:t xml:space="preserve">质疑函须使用财政部制定的范本文件。</w:t>
      </w:r>
      <w:r/>
    </w:p>
    <w:p>
      <w:pPr>
        <w:numPr>
          <w:ilvl w:val="0"/>
          <w:numId w:val="0"/>
        </w:numPr>
        <w:spacing w:line="360" w:lineRule="auto"/>
        <w:rPr>
          <w:color w:val="auto"/>
          <w:sz w:val="24"/>
          <w:highlight w:val="none"/>
        </w:rPr>
      </w:pP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75"/>
          <w:color w:val="auto"/>
          <w:highlight w:val="none"/>
        </w:rPr>
        <w:t xml:space="preserve">http</w:t>
      </w:r>
      <w:r>
        <w:rPr>
          <w:rStyle w:val="975"/>
          <w:rFonts w:hint="eastAsia"/>
          <w:color w:val="auto"/>
          <w:highlight w:val="none"/>
          <w:lang w:eastAsia="zh-CN"/>
        </w:rPr>
        <w:t xml:space="preserve">：</w:t>
      </w:r>
      <w:r>
        <w:rPr>
          <w:rStyle w:val="975"/>
          <w:color w:val="auto"/>
          <w:highlight w:val="none"/>
        </w:rPr>
        <w:t xml:space="preserve">//gk</w:t>
      </w:r>
      <w:bookmarkStart w:id="540" w:name="_Hlt100654014"/>
      <w:r>
        <w:rPr>
          <w:rStyle w:val="975"/>
          <w:color w:val="auto"/>
          <w:highlight w:val="none"/>
        </w:rPr>
        <w:t xml:space="preserve">s</w:t>
      </w:r>
      <w:bookmarkEnd w:id="540"/>
      <w:r>
        <w:rPr>
          <w:rStyle w:val="975"/>
          <w:color w:val="auto"/>
          <w:highlight w:val="none"/>
        </w:rPr>
        <w:t xml:space="preserve">.m</w:t>
      </w:r>
      <w:bookmarkStart w:id="541" w:name="_Hlt100653993"/>
      <w:r/>
      <w:bookmarkStart w:id="542" w:name="_Hlt100653994"/>
      <w:r>
        <w:rPr>
          <w:rStyle w:val="975"/>
          <w:color w:val="auto"/>
          <w:highlight w:val="none"/>
        </w:rPr>
        <w:t xml:space="preserve">o</w:t>
      </w:r>
      <w:bookmarkEnd w:id="541"/>
      <w:r/>
      <w:bookmarkEnd w:id="542"/>
      <w:r/>
      <w:bookmarkStart w:id="543" w:name="_Hlt101169156"/>
      <w:r>
        <w:rPr>
          <w:rStyle w:val="975"/>
          <w:color w:val="auto"/>
          <w:highlight w:val="none"/>
        </w:rPr>
        <w:t xml:space="preserve">f</w:t>
      </w:r>
      <w:bookmarkEnd w:id="543"/>
      <w:r>
        <w:rPr>
          <w:rStyle w:val="975"/>
          <w:color w:val="auto"/>
          <w:highlight w:val="none"/>
        </w:rPr>
        <w:t xml:space="preserve">.gov.cn/ztztz/zhengfucaigouguanli/201802/t20180201_2804589.htm</w:t>
      </w:r>
      <w:r>
        <w:rPr>
          <w:color w:val="auto"/>
          <w:highlight w:val="none"/>
        </w:rPr>
        <w:fldChar w:fldCharType="end"/>
      </w:r>
      <w:r>
        <w:rPr>
          <w:rFonts w:hint="eastAsia"/>
          <w:color w:val="auto"/>
          <w:highlight w:val="none"/>
        </w:rPr>
        <w:t xml:space="preserve">）</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24.2.4</w:t>
      </w: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24.2.5</w:t>
      </w: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25  </w:t>
      </w:r>
      <w:r>
        <w:rPr>
          <w:color w:val="auto"/>
          <w:sz w:val="24"/>
          <w:highlight w:val="none"/>
        </w:rPr>
        <w:t xml:space="preserve">代理费</w:t>
      </w:r>
      <w:r/>
    </w:p>
    <w:p>
      <w:pPr>
        <w:numPr>
          <w:ilvl w:val="0"/>
          <w:numId w:val="0"/>
        </w:numPr>
        <w:spacing w:line="360" w:lineRule="auto"/>
        <w:tabs>
          <w:tab w:val="left" w:pos="1080" w:leader="none"/>
          <w:tab w:val="left" w:pos="2014" w:leader="none"/>
        </w:tabs>
        <w:rPr>
          <w:sz w:val="24"/>
          <w:highlight w:val="none"/>
        </w:rPr>
      </w:pPr>
      <w:r>
        <w:rPr>
          <w:rFonts w:hint="eastAsia"/>
          <w:color w:val="auto"/>
          <w:sz w:val="24"/>
          <w:highlight w:val="none"/>
          <w:lang w:val="en-US" w:eastAsia="zh-CN"/>
        </w:rPr>
        <w:t xml:space="preserve">25.1</w:t>
      </w:r>
      <w:r>
        <w:rPr>
          <w:color w:val="auto"/>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t xml:space="preserve">。</w:t>
      </w:r>
      <w:r/>
    </w:p>
    <w:p>
      <w:pPr>
        <w:numPr>
          <w:ilvl w:val="1"/>
          <w:numId w:val="1"/>
        </w:numPr>
        <w:ind w:left="1077" w:hanging="720"/>
        <w:spacing w:line="360" w:lineRule="auto"/>
        <w:tabs>
          <w:tab w:val="left" w:pos="1080" w:leader="none"/>
          <w:tab w:val="left" w:pos="2014" w:leader="none"/>
        </w:tabs>
        <w:rPr>
          <w:sz w:val="24"/>
          <w:highlight w:val="none"/>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44" w:name="_Toc226337250"/>
      <w:r/>
      <w:bookmarkStart w:id="545" w:name="_Toc264969244"/>
      <w:r/>
      <w:bookmarkStart w:id="546" w:name="_Toc353873934"/>
      <w:r/>
      <w:bookmarkStart w:id="547" w:name="_Toc127151554"/>
      <w:r/>
      <w:bookmarkStart w:id="548" w:name="_Toc353825544"/>
      <w:r/>
      <w:bookmarkStart w:id="549" w:name="_Toc150774759"/>
      <w:r/>
      <w:bookmarkStart w:id="550" w:name="_Toc226965827"/>
      <w:r/>
      <w:bookmarkStart w:id="551" w:name="_Toc142311056"/>
      <w:r/>
      <w:bookmarkStart w:id="552" w:name="_Toc305158896"/>
      <w:r/>
      <w:bookmarkStart w:id="553" w:name="_Toc353873664"/>
      <w:r/>
      <w:bookmarkStart w:id="554" w:name="_Toc150480792"/>
      <w:r/>
      <w:bookmarkStart w:id="555" w:name="_Toc305158822"/>
      <w:r/>
      <w:bookmarkStart w:id="556" w:name="_Toc265228392"/>
      <w:r/>
      <w:r/>
    </w:p>
    <w:p>
      <w:pPr>
        <w:jc w:val="center"/>
        <w:spacing w:line="360" w:lineRule="auto"/>
        <w:rPr>
          <w:b/>
          <w:sz w:val="36"/>
          <w:szCs w:val="36"/>
          <w:highlight w:val="none"/>
        </w:rPr>
        <w:outlineLvl w:val="0"/>
      </w:pPr>
      <w:r/>
      <w:bookmarkStart w:id="557" w:name="_Toc104818927"/>
      <w:r>
        <w:rPr>
          <w:b/>
          <w:sz w:val="36"/>
          <w:szCs w:val="36"/>
          <w:highlight w:val="none"/>
        </w:rPr>
        <w:t xml:space="preserve">第三章   </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57"/>
      <w:r/>
      <w:bookmarkStart w:id="558" w:name="_Toc487900382"/>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58"/>
      <w:r/>
      <w:r/>
    </w:p>
    <w:p>
      <w:pPr>
        <w:pStyle w:val="961"/>
        <w:spacing w:before="0" w:line="360" w:lineRule="auto"/>
        <w:rPr>
          <w:rFonts w:ascii="Times New Roman" w:hAnsi="Times New Roman" w:eastAsia="宋体"/>
          <w:color w:val="auto"/>
          <w:sz w:val="24"/>
          <w:szCs w:val="24"/>
          <w:highlight w:val="none"/>
        </w:rPr>
      </w:pPr>
      <w:r/>
      <w:bookmarkStart w:id="559" w:name="_Toc353825551"/>
      <w:r/>
      <w:bookmarkStart w:id="560" w:name="_Toc353873941"/>
      <w:r/>
      <w:bookmarkStart w:id="561" w:name="_Toc353873935"/>
      <w:r/>
      <w:bookmarkStart w:id="562" w:name="_Toc353825545"/>
      <w:r/>
      <w:bookmarkStart w:id="563" w:name="_Toc353873665"/>
      <w:r/>
      <w:bookmarkStart w:id="564" w:name="_Toc150480793"/>
      <w:r/>
      <w:bookmarkStart w:id="565" w:name="_Toc305158823"/>
      <w:r/>
      <w:bookmarkStart w:id="566" w:name="_Toc305158897"/>
      <w:r/>
      <w:bookmarkStart w:id="567" w:name="_Toc150774760"/>
      <w:r/>
      <w:bookmarkStart w:id="568" w:name="_Toc265228393"/>
      <w:r/>
      <w:bookmarkStart w:id="569" w:name="_Toc226965828"/>
      <w:r/>
      <w:bookmarkStart w:id="570" w:name="_Toc195842920"/>
      <w:r/>
      <w:bookmarkStart w:id="571" w:name="_Toc264969245"/>
      <w:r/>
      <w:bookmarkStart w:id="572" w:name="_Toc142311057"/>
      <w:r/>
      <w:bookmarkStart w:id="573" w:name="_Toc226337251"/>
      <w:r/>
      <w:bookmarkStart w:id="574" w:name="_Toc127151555"/>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numPr>
          <w:ilvl w:val="0"/>
          <w:numId w:val="0"/>
        </w:numPr>
        <w:spacing w:line="360" w:lineRule="auto"/>
        <w:tabs>
          <w:tab w:val="left" w:pos="360" w:leader="none"/>
        </w:tabs>
        <w:rPr>
          <w:color w:val="auto"/>
          <w:sz w:val="24"/>
          <w:highlight w:val="none"/>
        </w:rPr>
        <w:outlineLvl w:val="1"/>
      </w:pPr>
      <w:r/>
      <w:bookmarkStart w:id="575" w:name="_Toc226965731"/>
      <w:r/>
      <w:bookmarkStart w:id="576" w:name="_Toc226309785"/>
      <w:r/>
      <w:bookmarkStart w:id="577" w:name="_Toc195842906"/>
      <w:r/>
      <w:bookmarkStart w:id="578" w:name="_Toc127151541"/>
      <w:r/>
      <w:bookmarkStart w:id="579" w:name="_Toc142311043"/>
      <w:r/>
      <w:bookmarkStart w:id="580" w:name="_Toc149720834"/>
      <w:r/>
      <w:bookmarkStart w:id="581" w:name="_Toc127161455"/>
      <w:r/>
      <w:bookmarkStart w:id="582" w:name="_Toc265228379"/>
      <w:r/>
      <w:bookmarkStart w:id="583" w:name="_Toc305158809"/>
      <w:r/>
      <w:bookmarkStart w:id="584" w:name="_Toc150480779"/>
      <w:r/>
      <w:bookmarkStart w:id="585" w:name="_Toc164229382"/>
      <w:r/>
      <w:bookmarkStart w:id="586" w:name="_Toc264969231"/>
      <w:r/>
      <w:bookmarkStart w:id="587" w:name="_Toc151190168"/>
      <w:r/>
      <w:bookmarkStart w:id="588" w:name="_Toc164608655"/>
      <w:r/>
      <w:bookmarkStart w:id="589" w:name="_Toc151193855"/>
      <w:r/>
      <w:bookmarkStart w:id="590" w:name="_Toc164351635"/>
      <w:r/>
      <w:bookmarkStart w:id="591" w:name="_Toc226337237"/>
      <w:r/>
      <w:bookmarkStart w:id="592" w:name="_Toc226965814"/>
      <w:r/>
      <w:bookmarkStart w:id="593" w:name="_Toc150509292"/>
      <w:r/>
      <w:bookmarkStart w:id="594" w:name="_Toc150774641"/>
      <w:r/>
      <w:bookmarkStart w:id="595" w:name="_Toc151193783"/>
      <w:r/>
      <w:bookmarkStart w:id="596" w:name="_Toc164229236"/>
      <w:r/>
      <w:bookmarkStart w:id="597" w:name="_Toc151193929"/>
      <w:r/>
      <w:bookmarkStart w:id="598" w:name="_Toc127151742"/>
      <w:r/>
      <w:bookmarkStart w:id="599" w:name="_Toc151193711"/>
      <w:r/>
      <w:bookmarkStart w:id="600" w:name="_Toc164608810"/>
      <w:r/>
      <w:bookmarkStart w:id="601" w:name="_Toc150774746"/>
      <w:r/>
      <w:bookmarkStart w:id="602" w:name="_Toc305158883"/>
      <w:r/>
      <w:bookmarkStart w:id="603" w:name="_Toc151193639"/>
      <w:r>
        <w:rPr>
          <w:rFonts w:hint="eastAsia"/>
          <w:color w:val="auto"/>
          <w:sz w:val="24"/>
          <w:highlight w:val="none"/>
          <w:lang w:val="en-US" w:eastAsia="zh-CN"/>
        </w:rPr>
        <w:t xml:space="preserve">1  </w:t>
      </w:r>
      <w:r>
        <w:rPr>
          <w:color w:val="auto"/>
          <w:sz w:val="24"/>
          <w:highlight w:val="none"/>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color w:val="auto"/>
          <w:sz w:val="24"/>
          <w:highlight w:val="none"/>
        </w:rPr>
        <w:t xml:space="preserve">资格性检查和符合性审查</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《资格性检查要求》中对格式有要求的，除竞争性磋商文件另有规定外，均为“实质性格式”文件。</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9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781"/>
        <w:gridCol w:w="4898"/>
        <w:gridCol w:w="1809"/>
      </w:tblGrid>
      <w:tr>
        <w:trPr>
          <w:cantSplit/>
          <w:trHeight w:val="20"/>
          <w:tblHeader/>
        </w:trPr>
        <w:tc>
          <w:tcPr>
            <w:tcW w:w="430" w:type="pct"/>
            <w:vAlign w:val="center"/>
            <w:textDirection w:val="lrTb"/>
            <w:noWrap w:val="false"/>
          </w:tcPr>
          <w:p>
            <w:pPr>
              <w:jc w:val="center"/>
              <w:spacing w:line="360" w:lineRule="auto"/>
              <w:tabs>
                <w:tab w:val="left" w:pos="1080" w:leader="none"/>
              </w:tabs>
              <w:rPr>
                <w:b/>
                <w:color w:val="auto"/>
                <w:sz w:val="24"/>
                <w:highlight w:val="none"/>
              </w:rPr>
            </w:pPr>
            <w:r/>
            <w:bookmarkStart w:id="604" w:name="_Hlt487972895"/>
            <w:r/>
            <w:bookmarkEnd w:id="604"/>
            <w:r>
              <w:rPr>
                <w:b/>
                <w:color w:val="auto"/>
                <w:sz w:val="24"/>
                <w:highlight w:val="none"/>
              </w:rPr>
              <w:t xml:space="preserve">序号</w:t>
            </w:r>
            <w:r/>
          </w:p>
        </w:tc>
        <w:tc>
          <w:tcPr>
            <w:tcW w:w="958" w:type="pct"/>
            <w:vAlign w:val="center"/>
            <w:textDirection w:val="lrTb"/>
            <w:noWrap w:val="false"/>
          </w:tcPr>
          <w:p>
            <w:pPr>
              <w:jc w:val="center"/>
              <w:spacing w:line="360" w:lineRule="auto"/>
              <w:tabs>
                <w:tab w:val="left" w:pos="1080" w:leader="none"/>
              </w:tabs>
              <w:rPr>
                <w:b/>
                <w:color w:val="auto"/>
                <w:sz w:val="24"/>
                <w:highlight w:val="none"/>
              </w:rPr>
            </w:pPr>
            <w:r>
              <w:rPr>
                <w:b/>
                <w:color w:val="auto"/>
                <w:sz w:val="24"/>
                <w:highlight w:val="none"/>
              </w:rPr>
              <w:t xml:space="preserve">审查因素</w:t>
            </w:r>
            <w:r/>
          </w:p>
        </w:tc>
        <w:tc>
          <w:tcPr>
            <w:tcW w:w="2636" w:type="pct"/>
            <w:vAlign w:val="center"/>
            <w:textDirection w:val="lrTb"/>
            <w:noWrap w:val="false"/>
          </w:tcPr>
          <w:p>
            <w:pPr>
              <w:jc w:val="center"/>
              <w:spacing w:line="360" w:lineRule="auto"/>
              <w:tabs>
                <w:tab w:val="left" w:pos="1080" w:leader="none"/>
              </w:tabs>
              <w:rPr>
                <w:b/>
                <w:color w:val="auto"/>
                <w:sz w:val="24"/>
                <w:highlight w:val="none"/>
              </w:rPr>
            </w:pPr>
            <w:r>
              <w:rPr>
                <w:b/>
                <w:color w:val="auto"/>
                <w:sz w:val="24"/>
                <w:highlight w:val="none"/>
              </w:rPr>
              <w:t xml:space="preserve">审查内容</w:t>
            </w:r>
            <w:r/>
          </w:p>
        </w:tc>
        <w:tc>
          <w:tcPr>
            <w:tcW w:w="973" w:type="pct"/>
            <w:vAlign w:val="center"/>
            <w:textDirection w:val="lrTb"/>
            <w:noWrap w:val="false"/>
          </w:tcPr>
          <w:p>
            <w:pPr>
              <w:jc w:val="center"/>
              <w:spacing w:line="360" w:lineRule="auto"/>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1</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具体规定见第一章《采购邀请》</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r>
            <w:r/>
          </w:p>
        </w:tc>
      </w:tr>
      <w:tr>
        <w:trPr>
          <w:cantSplit/>
          <w:trHeight w:val="468"/>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1-1</w:t>
            </w:r>
            <w:r/>
          </w:p>
        </w:tc>
        <w:tc>
          <w:tcPr>
            <w:tcW w:w="958" w:type="pct"/>
            <w:vAlign w:val="center"/>
            <w:textDirection w:val="lrTb"/>
            <w:noWrap w:val="false"/>
          </w:tcPr>
          <w:p>
            <w:pPr>
              <w:spacing w:line="360" w:lineRule="auto"/>
              <w:tabs>
                <w:tab w:val="left" w:pos="1080" w:leader="none"/>
              </w:tabs>
              <w:rPr>
                <w:color w:val="auto"/>
                <w:sz w:val="24"/>
                <w:highlight w:val="none"/>
              </w:rPr>
            </w:pPr>
            <w:r>
              <w:rPr>
                <w:rFonts w:hint="eastAsia"/>
                <w:color w:val="auto"/>
                <w:sz w:val="24"/>
                <w:highlight w:val="none"/>
              </w:rPr>
              <w:t xml:space="preserve">供应商资格声明函</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供应商信用记录</w:t>
            </w:r>
            <w:r/>
          </w:p>
        </w:tc>
        <w:tc>
          <w:tcPr>
            <w:tcW w:w="2636" w:type="pct"/>
            <w:vAlign w:val="center"/>
            <w:textDirection w:val="lrTb"/>
            <w:noWrap w:val="false"/>
          </w:tcPr>
          <w:p>
            <w:pPr>
              <w:spacing w:line="360" w:lineRule="auto"/>
              <w:tabs>
                <w:tab w:val="left" w:pos="900" w:leader="none"/>
                <w:tab w:val="left" w:pos="1980" w:leader="none"/>
              </w:tabs>
              <w:rPr>
                <w:color w:val="auto"/>
                <w:sz w:val="24"/>
                <w:highlight w:val="none"/>
              </w:rPr>
            </w:pPr>
            <w:r>
              <w:rPr>
                <w:color w:val="auto"/>
                <w:sz w:val="24"/>
                <w:highlight w:val="none"/>
              </w:rPr>
              <w:t xml:space="preserve">查询渠道：信用中国网站和中国政府采购网（www.creditchina.gov.cn、www.ccgp.gov.cn）；</w:t>
            </w:r>
            <w:r/>
          </w:p>
          <w:p>
            <w:pPr>
              <w:spacing w:line="360" w:lineRule="auto"/>
              <w:tabs>
                <w:tab w:val="left" w:pos="900" w:leader="none"/>
                <w:tab w:val="left" w:pos="19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spacing w:line="360" w:lineRule="auto"/>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spacing w:line="360" w:lineRule="auto"/>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w:t>
            </w:r>
            <w:r>
              <w:rPr>
                <w:b/>
                <w:color w:val="auto"/>
                <w:sz w:val="24"/>
                <w:highlight w:val="none"/>
              </w:rPr>
              <w:t xml:space="preserve">响应无效</w:t>
            </w:r>
            <w:r>
              <w:rPr>
                <w:color w:val="auto"/>
                <w:sz w:val="24"/>
                <w:highlight w:val="none"/>
              </w:rPr>
              <w:t xml:space="preserve">。联合体形式响应的，联合体成员存在不良信用记录，视同联合体存在不良信用记录。</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2</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落实政府采购政策需满足的资格要求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具体要求见第一章《采购邀请》</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2-1</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中小企业声明函</w:t>
            </w:r>
            <w:r/>
          </w:p>
        </w:tc>
        <w:tc>
          <w:tcPr>
            <w:tcW w:w="2636" w:type="pct"/>
            <w:vAlign w:val="center"/>
            <w:textDirection w:val="lrTb"/>
            <w:noWrap w:val="false"/>
          </w:tcPr>
          <w:p>
            <w:pPr>
              <w:spacing w:line="360" w:lineRule="auto"/>
              <w:tabs>
                <w:tab w:val="left" w:pos="1080" w:leader="none"/>
              </w:tabs>
              <w:rPr>
                <w:b/>
                <w:i w:val="0"/>
                <w:iCs/>
                <w:color w:val="auto"/>
                <w:sz w:val="24"/>
                <w:highlight w:val="none"/>
              </w:rPr>
            </w:pPr>
            <w:r>
              <w:rPr>
                <w:rFonts w:hint="eastAsia"/>
                <w:i w:val="0"/>
                <w:iCs/>
                <w:color w:val="auto"/>
                <w:sz w:val="24"/>
                <w:highlight w:val="none"/>
              </w:rPr>
              <w:t xml:space="preserve">如本项目（包）是专门面向中小企业采购的，必须提供，否则无须提供。</w:t>
            </w:r>
            <w:r/>
          </w:p>
          <w:p>
            <w:pPr>
              <w:spacing w:line="360" w:lineRule="auto"/>
              <w:tabs>
                <w:tab w:val="left" w:pos="1080" w:leader="none"/>
              </w:tabs>
              <w:rPr>
                <w:bCs/>
                <w:color w:val="auto"/>
                <w:sz w:val="24"/>
                <w:highlight w:val="none"/>
              </w:rPr>
            </w:pPr>
            <w:r>
              <w:rPr>
                <w:rFonts w:hint="eastAsia"/>
                <w:bCs/>
                <w:color w:val="auto"/>
                <w:sz w:val="24"/>
                <w:highlight w:val="none"/>
              </w:rPr>
              <w:t xml:space="preserve">1、供应商单独参与磋商的，应提供中小企业声明函；如为监狱企业或残疾人福利性单位，不必提供中小企业声明函，但须按注1或注2要求提供证明材料。</w:t>
            </w:r>
            <w:r/>
          </w:p>
          <w:p>
            <w:pPr>
              <w:spacing w:line="360" w:lineRule="auto"/>
              <w:tabs>
                <w:tab w:val="left" w:pos="1080" w:leader="none"/>
              </w:tabs>
              <w:rPr>
                <w:bCs/>
                <w:color w:val="auto"/>
                <w:sz w:val="24"/>
                <w:highlight w:val="none"/>
              </w:rPr>
            </w:pPr>
            <w:r>
              <w:rPr>
                <w:rFonts w:hint="eastAsia"/>
                <w:bCs/>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360" w:lineRule="auto"/>
              <w:tabs>
                <w:tab w:val="left" w:pos="1080" w:leader="none"/>
              </w:tabs>
              <w:rPr>
                <w:bCs/>
                <w:color w:val="auto"/>
                <w:sz w:val="24"/>
                <w:highlight w:val="none"/>
              </w:rPr>
            </w:pPr>
            <w:r>
              <w:rPr>
                <w:rFonts w:hint="eastAsia"/>
                <w:bCs/>
                <w:color w:val="auto"/>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b/>
                <w:color w:val="auto"/>
                <w:sz w:val="24"/>
                <w:highlight w:val="none"/>
              </w:rPr>
            </w:pPr>
            <w:r>
              <w:rPr>
                <w:rFonts w:hint="eastAsia"/>
                <w:bCs/>
                <w:color w:val="auto"/>
                <w:sz w:val="24"/>
                <w:highlight w:val="none"/>
              </w:rPr>
              <w:t xml:space="preserve">注2：残疾人福利性单位须按磋商文件要求提供《残疾人福利性单位声明函》。</w:t>
            </w:r>
            <w:r/>
          </w:p>
        </w:tc>
        <w:tc>
          <w:tcPr>
            <w:tcW w:w="973" w:type="pct"/>
            <w:vAlign w:val="center"/>
            <w:textDirection w:val="lrTb"/>
            <w:noWrap w:val="false"/>
          </w:tcPr>
          <w:p>
            <w:pPr>
              <w:spacing w:line="240" w:lineRule="auto"/>
              <w:tabs>
                <w:tab w:val="left" w:pos="1080" w:leader="none"/>
              </w:tabs>
              <w:rPr>
                <w:color w:val="auto"/>
                <w:sz w:val="24"/>
                <w:highlight w:val="none"/>
              </w:rPr>
            </w:pPr>
            <w:r>
              <w:rPr>
                <w:color w:val="auto"/>
                <w:sz w:val="24"/>
                <w:highlight w:val="none"/>
              </w:rPr>
              <w:t xml:space="preserve">格式见《响应文件格式》</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2-3</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其它落实政府采购政策的资格要求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如有，见第一章《采购邀请》</w:t>
            </w:r>
            <w:r/>
          </w:p>
        </w:tc>
        <w:tc>
          <w:tcPr>
            <w:tcW w:w="973" w:type="pct"/>
            <w:vAlign w:val="center"/>
            <w:textDirection w:val="lrTb"/>
            <w:noWrap w:val="false"/>
          </w:tcPr>
          <w:p>
            <w:pPr>
              <w:jc w:val="both"/>
              <w:spacing w:line="240" w:lineRule="auto"/>
              <w:tabs>
                <w:tab w:val="left" w:pos="1080" w:leader="none"/>
              </w:tabs>
              <w:rPr>
                <w:color w:val="auto"/>
                <w:sz w:val="24"/>
                <w:highlight w:val="none"/>
              </w:rPr>
            </w:pPr>
            <w:r>
              <w:rPr>
                <w:rFonts w:hint="eastAsia"/>
                <w:color w:val="auto"/>
                <w:sz w:val="24"/>
                <w:highlight w:val="none"/>
              </w:rPr>
              <w:t xml:space="preserve">提供证明文件的电子件或电子证照</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3</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本项目的特定资格要求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如有，见第一章《采购邀请》</w:t>
            </w:r>
            <w:r/>
          </w:p>
        </w:tc>
        <w:tc>
          <w:tcPr>
            <w:tcW w:w="973"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3-1</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是否接受联合体响应</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本项目不接受联合体响应，</w:t>
            </w:r>
            <w:r>
              <w:rPr>
                <w:rFonts w:hint="eastAsia"/>
                <w:color w:val="auto"/>
                <w:sz w:val="24"/>
                <w:highlight w:val="none"/>
              </w:rPr>
              <w:t xml:space="preserve">供应商不得为联合体</w:t>
            </w:r>
            <w:r>
              <w:rPr>
                <w:color w:val="auto"/>
                <w:sz w:val="24"/>
                <w:highlight w:val="none"/>
              </w:rPr>
              <w:t xml:space="preserve">。</w:t>
            </w:r>
            <w:r/>
          </w:p>
        </w:tc>
        <w:tc>
          <w:tcPr>
            <w:tcW w:w="973" w:type="pct"/>
            <w:vAlign w:val="center"/>
            <w:textDirection w:val="lrTb"/>
            <w:noWrap w:val="false"/>
          </w:tcPr>
          <w:p>
            <w:pPr>
              <w:spacing w:line="240" w:lineRule="auto"/>
              <w:tabs>
                <w:tab w:val="left" w:pos="1080" w:leader="none"/>
              </w:tabs>
              <w:rPr>
                <w:color w:val="auto"/>
                <w:sz w:val="24"/>
                <w:highlight w:val="none"/>
              </w:rPr>
            </w:pPr>
            <w:r>
              <w:rPr>
                <w:color w:val="auto"/>
                <w:sz w:val="24"/>
                <w:highlight w:val="none"/>
              </w:rPr>
              <w:t xml:space="preserve">格式见《响应文件格式》</w:t>
            </w:r>
            <w:r/>
          </w:p>
        </w:tc>
      </w:tr>
      <w:tr>
        <w:trPr>
          <w:cantSplit/>
          <w:trHeight w:val="20"/>
        </w:trPr>
        <w:tc>
          <w:tcPr>
            <w:tcW w:w="430" w:type="pct"/>
            <w:vAlign w:val="center"/>
            <w:textDirection w:val="lrTb"/>
            <w:noWrap w:val="false"/>
          </w:tcPr>
          <w:p>
            <w:pPr>
              <w:jc w:val="center"/>
              <w:spacing w:line="360" w:lineRule="auto"/>
              <w:tabs>
                <w:tab w:val="left" w:pos="1080" w:leader="none"/>
              </w:tabs>
              <w:rPr>
                <w:color w:val="auto"/>
                <w:sz w:val="24"/>
                <w:highlight w:val="none"/>
              </w:rPr>
            </w:pPr>
            <w:r>
              <w:rPr>
                <w:color w:val="auto"/>
                <w:sz w:val="24"/>
                <w:highlight w:val="none"/>
              </w:rPr>
              <w:t xml:space="preserve">3-2</w:t>
            </w:r>
            <w:r/>
          </w:p>
        </w:tc>
        <w:tc>
          <w:tcPr>
            <w:tcW w:w="958"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其他特定资格要求</w:t>
            </w:r>
            <w:r/>
          </w:p>
        </w:tc>
        <w:tc>
          <w:tcPr>
            <w:tcW w:w="2636" w:type="pct"/>
            <w:vAlign w:val="center"/>
            <w:textDirection w:val="lrTb"/>
            <w:noWrap w:val="false"/>
          </w:tcPr>
          <w:p>
            <w:pPr>
              <w:spacing w:line="360" w:lineRule="auto"/>
              <w:tabs>
                <w:tab w:val="left" w:pos="1080" w:leader="none"/>
              </w:tabs>
              <w:rPr>
                <w:color w:val="auto"/>
                <w:sz w:val="24"/>
                <w:highlight w:val="none"/>
              </w:rPr>
            </w:pPr>
            <w:r>
              <w:rPr>
                <w:color w:val="auto"/>
                <w:sz w:val="24"/>
                <w:highlight w:val="none"/>
              </w:rPr>
              <w:t xml:space="preserve">如有，见第一章《采购邀请》</w:t>
            </w:r>
            <w:r/>
          </w:p>
        </w:tc>
        <w:tc>
          <w:tcPr>
            <w:tcW w:w="973" w:type="pct"/>
            <w:vAlign w:val="center"/>
            <w:textDirection w:val="lrTb"/>
            <w:noWrap w:val="false"/>
          </w:tcPr>
          <w:p>
            <w:pPr>
              <w:spacing w:line="240" w:lineRule="auto"/>
              <w:tabs>
                <w:tab w:val="left" w:pos="1080" w:leader="none"/>
              </w:tabs>
              <w:rPr>
                <w:color w:val="auto"/>
                <w:sz w:val="24"/>
                <w:highlight w:val="none"/>
              </w:rPr>
            </w:pPr>
            <w:r>
              <w:rPr>
                <w:rFonts w:hint="eastAsia"/>
                <w:color w:val="auto"/>
                <w:sz w:val="24"/>
                <w:highlight w:val="none"/>
              </w:rPr>
              <w:t xml:space="preserve">提供证明文件的电子件或电子证照</w:t>
            </w:r>
            <w:r/>
          </w:p>
        </w:tc>
      </w:tr>
    </w:tbl>
    <w:p>
      <w:pPr>
        <w:jc w:val="left"/>
        <w:spacing w:line="360" w:lineRule="auto"/>
        <w:widowControl/>
        <w:rPr>
          <w:sz w:val="24"/>
          <w:highlight w:val="none"/>
        </w:rPr>
      </w:pPr>
      <w:r>
        <w:rPr>
          <w:sz w:val="24"/>
          <w:highlight w:val="none"/>
        </w:rPr>
        <w:br w:type="page" w:clear="all"/>
      </w:r>
      <w:r/>
    </w:p>
    <w:p>
      <w:pPr>
        <w:numPr>
          <w:ilvl w:val="0"/>
          <w:numId w:val="0"/>
        </w:numPr>
        <w:spacing w:line="360" w:lineRule="auto"/>
        <w:tabs>
          <w:tab w:val="left" w:pos="1080" w:leader="none"/>
        </w:tabs>
        <w:rPr>
          <w:sz w:val="24"/>
          <w:highlight w:val="none"/>
        </w:rPr>
      </w:pPr>
      <w:r>
        <w:rPr>
          <w:rFonts w:hint="eastAsia"/>
          <w:sz w:val="24"/>
          <w:highlight w:val="none"/>
          <w:lang w:val="en-US" w:eastAsia="zh-CN"/>
        </w:rPr>
        <w:t xml:space="preserve">1.4</w:t>
      </w:r>
      <w:r>
        <w:rPr>
          <w:sz w:val="24"/>
          <w:highlight w:val="none"/>
        </w:rPr>
        <w:t xml:space="preserve">《符合性审查要求》见下表：</w:t>
      </w:r>
      <w:bookmarkEnd w:id="559"/>
      <w:r/>
      <w:bookmarkEnd w:id="560"/>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9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jc w:val="center"/>
          <w:trHeight w:val="300"/>
        </w:trPr>
        <w:tc>
          <w:tcPr>
            <w:tcW w:w="403" w:type="pct"/>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审查因素</w:t>
            </w:r>
            <w:r/>
          </w:p>
        </w:tc>
        <w:tc>
          <w:tcPr>
            <w:tcW w:w="3620" w:type="pct"/>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审查内容</w:t>
            </w:r>
            <w:r/>
          </w:p>
        </w:tc>
      </w:tr>
      <w:tr>
        <w:trPr>
          <w:jc w:val="center"/>
          <w:trHeight w:val="685"/>
        </w:trPr>
        <w:tc>
          <w:tcPr>
            <w:tcW w:w="403" w:type="pct"/>
            <w:vAlign w:val="center"/>
            <w:textDirection w:val="lrTb"/>
            <w:noWrap w:val="false"/>
          </w:tcPr>
          <w:p>
            <w:pPr>
              <w:jc w:val="center"/>
              <w:spacing w:line="360" w:lineRule="auto"/>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法定代表人资格证明书和政府采购供应商信用承诺书</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按磋商文件要求提供</w:t>
            </w:r>
            <w:r>
              <w:rPr>
                <w:rFonts w:hint="eastAsia"/>
                <w:b/>
                <w:bCs/>
                <w:color w:val="auto"/>
                <w:sz w:val="24"/>
                <w:highlight w:val="none"/>
              </w:rPr>
              <w:t xml:space="preserve">响应函、</w:t>
            </w:r>
            <w:r>
              <w:rPr>
                <w:rFonts w:hint="eastAsia"/>
                <w:b/>
                <w:bCs/>
                <w:color w:val="auto"/>
                <w:sz w:val="24"/>
                <w:highlight w:val="none"/>
              </w:rPr>
              <w:t xml:space="preserve">法定代表人资格证明书和政府采购供应商信用承诺书</w:t>
            </w:r>
            <w:r>
              <w:rPr>
                <w:color w:val="auto"/>
                <w:sz w:val="24"/>
                <w:highlight w:val="none"/>
              </w:rPr>
              <w:t xml:space="preserve">；</w:t>
            </w:r>
            <w:r>
              <w:rPr>
                <w:rFonts w:hint="eastAsia"/>
                <w:color w:val="auto"/>
                <w:sz w:val="24"/>
                <w:highlight w:val="none"/>
              </w:rPr>
              <w:t xml:space="preserve">格式见《响应文件格式》</w:t>
            </w:r>
            <w:r/>
          </w:p>
        </w:tc>
      </w:tr>
      <w:tr>
        <w:trPr>
          <w:jc w:val="center"/>
          <w:trHeight w:val="685"/>
        </w:trPr>
        <w:tc>
          <w:tcPr>
            <w:tcW w:w="403" w:type="pct"/>
            <w:vAlign w:val="center"/>
            <w:textDirection w:val="lrTb"/>
            <w:noWrap w:val="false"/>
          </w:tcPr>
          <w:p>
            <w:pPr>
              <w:jc w:val="center"/>
              <w:spacing w:line="360" w:lineRule="auto"/>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响应完整性</w:t>
            </w:r>
            <w:r/>
          </w:p>
        </w:tc>
        <w:tc>
          <w:tcPr>
            <w:tcW w:w="3620"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rPr>
                <w:rFonts w:hint="eastAsia"/>
                <w:color w:val="auto"/>
                <w:sz w:val="24"/>
                <w:highlight w:val="none"/>
              </w:rPr>
              <w:t xml:space="preserve">（由磋商小组审查，无需供应商提供材料）</w:t>
            </w:r>
            <w:r/>
          </w:p>
        </w:tc>
      </w:tr>
      <w:tr>
        <w:trPr>
          <w:jc w:val="center"/>
          <w:trHeight w:val="685"/>
        </w:trPr>
        <w:tc>
          <w:tcPr>
            <w:tcW w:w="403" w:type="pct"/>
            <w:vAlign w:val="center"/>
            <w:textDirection w:val="lrTb"/>
            <w:noWrap w:val="false"/>
          </w:tcPr>
          <w:p>
            <w:pPr>
              <w:jc w:val="center"/>
              <w:spacing w:line="360" w:lineRule="auto"/>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响应报价</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超过磋商文件中规定的项目/采购包预算金额或者项目/采购包最高限价</w:t>
            </w:r>
            <w:r>
              <w:rPr>
                <w:color w:val="auto"/>
                <w:sz w:val="24"/>
                <w:highlight w:val="none"/>
              </w:rPr>
              <w:t xml:space="preserve">；</w:t>
            </w:r>
            <w:r>
              <w:rPr>
                <w:rFonts w:hint="eastAsia"/>
                <w:color w:val="auto"/>
                <w:sz w:val="24"/>
                <w:highlight w:val="none"/>
              </w:rPr>
              <w:t xml:space="preserve">（由磋商小组审查，无需供应商提供材料）</w:t>
            </w:r>
            <w:r/>
          </w:p>
        </w:tc>
      </w:tr>
      <w:tr>
        <w:trPr>
          <w:jc w:val="center"/>
          <w:trHeight w:val="685"/>
        </w:trPr>
        <w:tc>
          <w:tcPr>
            <w:tcW w:w="403" w:type="pct"/>
            <w:vAlign w:val="center"/>
            <w:textDirection w:val="lrTb"/>
            <w:noWrap w:val="false"/>
          </w:tcPr>
          <w:p>
            <w:pPr>
              <w:jc w:val="center"/>
              <w:spacing w:line="360" w:lineRule="auto"/>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报价唯一性</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p>
        </w:tc>
      </w:tr>
      <w:tr>
        <w:trPr>
          <w:jc w:val="center"/>
          <w:trHeight w:val="685"/>
        </w:trPr>
        <w:tc>
          <w:tcPr>
            <w:tcW w:w="403" w:type="pct"/>
            <w:vAlign w:val="center"/>
            <w:textDirection w:val="lrTb"/>
            <w:noWrap w:val="false"/>
          </w:tcPr>
          <w:p>
            <w:pPr>
              <w:jc w:val="center"/>
              <w:spacing w:line="360" w:lineRule="auto"/>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响应有效期</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rPr>
                <w:rFonts w:hint="eastAsia"/>
                <w:b/>
                <w:bCs/>
                <w:color w:val="auto"/>
                <w:sz w:val="24"/>
                <w:highlight w:val="none"/>
              </w:rPr>
              <w:t xml:space="preserve">提供承诺书</w:t>
            </w:r>
            <w:r/>
          </w:p>
        </w:tc>
      </w:tr>
      <w:tr>
        <w:trPr>
          <w:jc w:val="center"/>
          <w:trHeight w:val="685"/>
        </w:trPr>
        <w:tc>
          <w:tcPr>
            <w:tcW w:w="403" w:type="pct"/>
            <w:vAlign w:val="center"/>
            <w:textDirection w:val="lrTb"/>
            <w:noWrap w:val="false"/>
          </w:tcPr>
          <w:p>
            <w:pPr>
              <w:jc w:val="center"/>
              <w:spacing w:line="360" w:lineRule="auto"/>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签署、加盖公章</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按照磋商文件要求签署、加盖公章的；</w:t>
            </w:r>
            <w:r>
              <w:rPr>
                <w:rFonts w:hint="eastAsia"/>
                <w:color w:val="auto"/>
                <w:sz w:val="24"/>
                <w:highlight w:val="none"/>
              </w:rPr>
              <w:t xml:space="preserve">（由磋商小组审查，无需供应商提供材料）</w:t>
            </w:r>
            <w:r/>
          </w:p>
        </w:tc>
      </w:tr>
      <w:tr>
        <w:trPr>
          <w:jc w:val="center"/>
          <w:trHeight w:val="685"/>
        </w:trPr>
        <w:tc>
          <w:tcPr>
            <w:tcW w:w="403" w:type="pct"/>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实质性格式</w:t>
            </w:r>
            <w:r/>
          </w:p>
        </w:tc>
        <w:tc>
          <w:tcPr>
            <w:tcW w:w="3620"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要求提供；除前面已提供的实质性格式文件以外，还需提供：</w:t>
            </w:r>
            <w:r>
              <w:rPr>
                <w:rFonts w:hint="eastAsia"/>
                <w:b/>
                <w:bCs/>
                <w:color w:val="auto"/>
                <w:sz w:val="24"/>
                <w:highlight w:val="none"/>
              </w:rPr>
              <w:t xml:space="preserve">合同条款偏离表</w:t>
            </w:r>
            <w:r>
              <w:rPr>
                <w:rFonts w:hint="eastAsia"/>
                <w:color w:val="auto"/>
                <w:sz w:val="24"/>
                <w:highlight w:val="none"/>
              </w:rPr>
              <w:t xml:space="preserve">，</w:t>
            </w:r>
            <w:r>
              <w:rPr>
                <w:rFonts w:hint="eastAsia"/>
                <w:b/>
                <w:bCs/>
                <w:color w:val="auto"/>
                <w:sz w:val="24"/>
                <w:highlight w:val="none"/>
              </w:rPr>
              <w:t xml:space="preserve">采购需求偏离表</w:t>
            </w:r>
            <w:r>
              <w:rPr>
                <w:rFonts w:hint="eastAsia"/>
                <w:color w:val="auto"/>
                <w:sz w:val="24"/>
                <w:highlight w:val="none"/>
              </w:rPr>
              <w:t xml:space="preserve">，格式见《响应文件格式》</w:t>
            </w:r>
            <w:r/>
          </w:p>
        </w:tc>
      </w:tr>
      <w:tr>
        <w:trPr>
          <w:jc w:val="center"/>
          <w:trHeight w:val="685"/>
        </w:trPr>
        <w:tc>
          <w:tcPr>
            <w:tcW w:w="403" w:type="pct"/>
            <w:vAlign w:val="center"/>
            <w:textDirection w:val="lrTb"/>
            <w:noWrap w:val="false"/>
          </w:tcPr>
          <w:p>
            <w:pPr>
              <w:jc w:val="center"/>
              <w:spacing w:line="360" w:lineRule="auto"/>
              <w:widowControl/>
              <w:rPr>
                <w:rFonts w:hint="eastAsia" w:eastAsia="宋体"/>
                <w:color w:val="auto"/>
                <w:sz w:val="24"/>
                <w:highlight w:val="none"/>
                <w:lang w:eastAsia="zh-CN"/>
              </w:rPr>
            </w:pPr>
            <w:r>
              <w:rPr>
                <w:rFonts w:hint="eastAsia"/>
                <w:color w:val="auto"/>
                <w:sz w:val="24"/>
                <w:highlight w:val="none"/>
                <w:lang w:val="en-US" w:eastAsia="zh-CN"/>
              </w:rPr>
              <w:t xml:space="preserve">8</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分包承担主体资质（如有）</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分包承担主体具备《供应商须知资料表》载明的资质条件</w:t>
            </w:r>
            <w:r>
              <w:rPr>
                <w:rFonts w:hint="eastAsia"/>
                <w:color w:val="auto"/>
                <w:sz w:val="24"/>
                <w:highlight w:val="none"/>
              </w:rPr>
              <w:t xml:space="preserve">且</w:t>
            </w:r>
            <w:r>
              <w:rPr>
                <w:b/>
                <w:bCs/>
                <w:color w:val="auto"/>
                <w:sz w:val="24"/>
                <w:highlight w:val="none"/>
              </w:rPr>
              <w:t xml:space="preserve">提供</w:t>
            </w:r>
            <w:r>
              <w:rPr>
                <w:rFonts w:hint="eastAsia"/>
                <w:b/>
                <w:bCs/>
                <w:color w:val="auto"/>
                <w:sz w:val="24"/>
                <w:highlight w:val="none"/>
              </w:rPr>
              <w:t xml:space="preserve">了</w:t>
            </w:r>
            <w:r>
              <w:rPr>
                <w:b/>
                <w:bCs/>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85"/>
        </w:trPr>
        <w:tc>
          <w:tcPr>
            <w:tcW w:w="403" w:type="pct"/>
            <w:vAlign w:val="center"/>
            <w:textDirection w:val="lrTb"/>
            <w:noWrap w:val="false"/>
          </w:tcPr>
          <w:p>
            <w:pPr>
              <w:jc w:val="center"/>
              <w:spacing w:line="360" w:lineRule="auto"/>
              <w:widowControl/>
              <w:rPr>
                <w:rFonts w:hint="eastAsia" w:eastAsia="宋体"/>
                <w:color w:val="auto"/>
                <w:sz w:val="24"/>
                <w:highlight w:val="none"/>
                <w:lang w:eastAsia="zh-CN"/>
              </w:rPr>
            </w:pPr>
            <w:r>
              <w:rPr>
                <w:rFonts w:hint="eastAsia"/>
                <w:color w:val="auto"/>
                <w:sz w:val="24"/>
                <w:highlight w:val="none"/>
                <w:lang w:val="en-US" w:eastAsia="zh-CN"/>
              </w:rPr>
              <w:t xml:space="preserve">9</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分包意向协议</w:t>
            </w:r>
            <w:r/>
          </w:p>
          <w:p>
            <w:pPr>
              <w:jc w:val="left"/>
              <w:spacing w:line="360" w:lineRule="auto"/>
              <w:widowControl/>
              <w:rPr>
                <w:color w:val="auto"/>
                <w:sz w:val="24"/>
                <w:highlight w:val="none"/>
              </w:rPr>
            </w:pPr>
            <w:r>
              <w:rPr>
                <w:color w:val="auto"/>
                <w:sz w:val="24"/>
                <w:highlight w:val="none"/>
              </w:rPr>
              <w:t xml:space="preserve">（如有）</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按磋商文件规定签订并</w:t>
            </w:r>
            <w:r>
              <w:rPr>
                <w:b/>
                <w:bCs/>
                <w:color w:val="auto"/>
                <w:sz w:val="24"/>
                <w:highlight w:val="none"/>
              </w:rPr>
              <w:t xml:space="preserve">提供分包意向协议原件的电子件</w:t>
            </w:r>
            <w:r>
              <w:rPr>
                <w:color w:val="auto"/>
                <w:sz w:val="24"/>
                <w:highlight w:val="none"/>
              </w:rPr>
              <w:t xml:space="preserve">的；</w:t>
            </w:r>
            <w:r>
              <w:rPr>
                <w:rFonts w:hint="eastAsia"/>
                <w:color w:val="auto"/>
                <w:sz w:val="24"/>
                <w:highlight w:val="none"/>
              </w:rPr>
              <w:t xml:space="preserve">（如有）</w:t>
            </w:r>
            <w:r/>
          </w:p>
        </w:tc>
      </w:tr>
      <w:tr>
        <w:trPr>
          <w:jc w:val="center"/>
          <w:trHeight w:val="685"/>
        </w:trPr>
        <w:tc>
          <w:tcPr>
            <w:tcW w:w="403" w:type="pct"/>
            <w:vAlign w:val="center"/>
            <w:textDirection w:val="lrTb"/>
            <w:noWrap w:val="false"/>
          </w:tcPr>
          <w:p>
            <w:pPr>
              <w:jc w:val="center"/>
              <w:spacing w:line="360" w:lineRule="auto"/>
              <w:widowControl/>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报价的修正（如有）</w:t>
            </w:r>
            <w:r/>
          </w:p>
        </w:tc>
        <w:tc>
          <w:tcPr>
            <w:tcW w:w="3620"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rPr>
                <w:rFonts w:hint="eastAsia"/>
                <w:color w:val="auto"/>
                <w:sz w:val="24"/>
                <w:highlight w:val="none"/>
              </w:rPr>
              <w:t xml:space="preserve">（由磋商小组审查，无需供应商提供材料）</w:t>
            </w:r>
            <w:r/>
          </w:p>
        </w:tc>
      </w:tr>
      <w:tr>
        <w:trPr>
          <w:jc w:val="center"/>
          <w:trHeight w:val="685"/>
        </w:trPr>
        <w:tc>
          <w:tcPr>
            <w:tcW w:w="403" w:type="pct"/>
            <w:vAlign w:val="center"/>
            <w:textDirection w:val="lrTb"/>
            <w:noWrap w:val="false"/>
          </w:tcPr>
          <w:p>
            <w:pPr>
              <w:jc w:val="center"/>
              <w:spacing w:line="360" w:lineRule="auto"/>
              <w:widowControl/>
              <w:rPr>
                <w:rFonts w:hint="default" w:eastAsia="宋体"/>
                <w:color w:val="auto"/>
                <w:sz w:val="24"/>
                <w:highlight w:val="none"/>
                <w:lang w:val="en-US" w:eastAsia="zh-CN"/>
              </w:rPr>
            </w:pPr>
            <w:r>
              <w:rPr>
                <w:rFonts w:hint="eastAsia"/>
                <w:color w:val="auto"/>
                <w:sz w:val="24"/>
                <w:highlight w:val="none"/>
                <w:lang w:val="en-US" w:eastAsia="zh-CN"/>
              </w:rPr>
              <w:t xml:space="preserve">11</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进口产品</w:t>
            </w:r>
            <w:r/>
          </w:p>
          <w:p>
            <w:pPr>
              <w:jc w:val="left"/>
              <w:spacing w:line="360" w:lineRule="auto"/>
              <w:widowControl/>
              <w:rPr>
                <w:color w:val="auto"/>
                <w:sz w:val="24"/>
                <w:highlight w:val="none"/>
              </w:rPr>
            </w:pPr>
            <w:r>
              <w:rPr>
                <w:color w:val="auto"/>
                <w:sz w:val="24"/>
                <w:highlight w:val="none"/>
              </w:rPr>
              <w:t xml:space="preserve">（如有）</w:t>
            </w:r>
            <w:r/>
          </w:p>
        </w:tc>
        <w:tc>
          <w:tcPr>
            <w:tcW w:w="3620" w:type="pct"/>
            <w:vAlign w:val="center"/>
            <w:textDirection w:val="lrTb"/>
            <w:noWrap w:val="false"/>
          </w:tcPr>
          <w:p>
            <w:pPr>
              <w:jc w:val="left"/>
              <w:spacing w:line="360" w:lineRule="auto"/>
              <w:widowControl/>
              <w:rPr>
                <w:color w:val="auto"/>
                <w:sz w:val="24"/>
                <w:highlight w:val="none"/>
              </w:rPr>
            </w:pPr>
            <w:r>
              <w:rPr>
                <w:rFonts w:hint="eastAsia" w:ascii="宋体" w:hAnsi="宋体"/>
                <w:color w:val="auto"/>
                <w:sz w:val="24"/>
                <w:highlight w:val="none"/>
              </w:rPr>
              <w:t xml:space="preserve">磋商文件</w:t>
            </w:r>
            <w:r>
              <w:rPr>
                <w:rFonts w:ascii="宋体" w:hAnsi="宋体"/>
                <w:color w:val="auto"/>
                <w:sz w:val="24"/>
                <w:highlight w:val="none"/>
              </w:rPr>
              <w:t xml:space="preserve">不接受进口产品响应</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供应商所投产品非进口产品的；（由磋商小组审查，无需供应商提供材料）</w:t>
            </w:r>
            <w:r/>
          </w:p>
        </w:tc>
      </w:tr>
      <w:tr>
        <w:trPr>
          <w:jc w:val="center"/>
          <w:trHeight w:val="685"/>
        </w:trPr>
        <w:tc>
          <w:tcPr>
            <w:tcW w:w="403" w:type="pct"/>
            <w:vAlign w:val="center"/>
            <w:textDirection w:val="lrTb"/>
            <w:noWrap w:val="false"/>
          </w:tcPr>
          <w:p>
            <w:pPr>
              <w:jc w:val="center"/>
              <w:spacing w:line="360" w:lineRule="auto"/>
              <w:widowControl/>
              <w:rPr>
                <w:rFonts w:hint="eastAsia" w:eastAsia="宋体"/>
                <w:color w:val="auto"/>
                <w:sz w:val="24"/>
                <w:highlight w:val="none"/>
                <w:lang w:eastAsia="zh-CN"/>
              </w:rPr>
            </w:pPr>
            <w:r>
              <w:rPr>
                <w:color w:val="auto"/>
                <w:sz w:val="24"/>
                <w:highlight w:val="none"/>
              </w:rPr>
              <w:t xml:space="preserve">1</w:t>
            </w:r>
            <w:r>
              <w:rPr>
                <w:rFonts w:hint="eastAsia"/>
                <w:color w:val="auto"/>
                <w:sz w:val="24"/>
                <w:highlight w:val="none"/>
                <w:lang w:val="en-US" w:eastAsia="zh-CN"/>
              </w:rPr>
              <w:t xml:space="preserve">2</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国家有关部门对供应商的响应产品有强制性规定或要求的</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国家有关部门对供应商的响应产品有强制性规定或要求的（如相应技术、安全、节能和环保等），</w:t>
            </w:r>
            <w:r>
              <w:rPr>
                <w:rFonts w:hint="eastAsia"/>
                <w:b/>
                <w:bCs/>
                <w:color w:val="auto"/>
                <w:sz w:val="24"/>
                <w:highlight w:val="none"/>
              </w:rPr>
              <w:t xml:space="preserve">如有下列情形的，供应商的响应产品应符合相应规定或要求，并提供证明文件电子件</w:t>
            </w:r>
            <w:r>
              <w:rPr>
                <w:rFonts w:hint="eastAsia"/>
                <w:color w:val="auto"/>
                <w:sz w:val="24"/>
                <w:highlight w:val="none"/>
              </w:rPr>
              <w:t xml:space="preserve">：</w:t>
            </w:r>
            <w:r/>
          </w:p>
          <w:p>
            <w:pPr>
              <w:jc w:val="left"/>
              <w:spacing w:line="360" w:lineRule="auto"/>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spacing w:line="360" w:lineRule="auto"/>
              <w:widowControl/>
              <w:rPr>
                <w:color w:val="auto"/>
                <w:sz w:val="24"/>
                <w:highlight w:val="none"/>
              </w:rPr>
            </w:pPr>
            <w:r>
              <w:rPr>
                <w:rFonts w:hint="eastAsia"/>
                <w:color w:val="auto"/>
                <w:sz w:val="24"/>
                <w:highlight w:val="none"/>
              </w:rPr>
              <w:t xml:space="preserve">2）</w:t>
            </w:r>
            <w:r>
              <w:rPr>
                <w:color w:val="auto"/>
                <w:sz w:val="24"/>
                <w:highlight w:val="none"/>
              </w:rPr>
              <w:t xml:space="preserve">响应产品如涉及计算机信息系统安全专用产品的，须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spacing w:line="360" w:lineRule="auto"/>
              <w:widowControl/>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响应产品如有属于开展国家信息安全产品认证产品范围的，须</w:t>
            </w:r>
            <w:r>
              <w:rPr>
                <w:rFonts w:hint="eastAsia"/>
                <w:color w:val="auto"/>
                <w:sz w:val="24"/>
                <w:highlight w:val="none"/>
              </w:rPr>
              <w:t xml:space="preserve">提供</w:t>
            </w:r>
            <w:r>
              <w:rPr>
                <w:color w:val="auto"/>
                <w:sz w:val="24"/>
                <w:highlight w:val="none"/>
              </w:rPr>
              <w:t xml:space="preserve">由中国网络安全审查技术与认证中心（原中国信息安全认证中心）按国家标准认证颁发的有效认证证书等）；</w:t>
            </w:r>
            <w:r/>
          </w:p>
          <w:p>
            <w:pPr>
              <w:jc w:val="left"/>
              <w:spacing w:line="360" w:lineRule="auto"/>
              <w:widowControl/>
              <w:rPr>
                <w:color w:val="auto"/>
                <w:sz w:val="24"/>
                <w:highlight w:val="none"/>
              </w:rPr>
            </w:pPr>
            <w:r>
              <w:rPr>
                <w:rFonts w:hint="eastAsia"/>
                <w:color w:val="auto"/>
                <w:sz w:val="24"/>
                <w:highlight w:val="none"/>
              </w:rPr>
              <w:t xml:space="preserve">4）</w:t>
            </w:r>
            <w:r>
              <w:rPr>
                <w:color w:val="auto"/>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3" w:type="pct"/>
            <w:vAlign w:val="center"/>
            <w:textDirection w:val="lrTb"/>
            <w:noWrap w:val="false"/>
          </w:tcPr>
          <w:p>
            <w:pPr>
              <w:jc w:val="center"/>
              <w:spacing w:line="360" w:lineRule="auto"/>
              <w:widowControl/>
              <w:rPr>
                <w:rFonts w:hint="eastAsia" w:eastAsia="宋体"/>
                <w:color w:val="auto"/>
                <w:sz w:val="24"/>
                <w:highlight w:val="none"/>
                <w:lang w:eastAsia="zh-CN"/>
              </w:rPr>
            </w:pPr>
            <w:r>
              <w:rPr>
                <w:color w:val="auto"/>
                <w:sz w:val="24"/>
                <w:highlight w:val="none"/>
              </w:rPr>
              <w:t xml:space="preserve">1</w:t>
            </w:r>
            <w:r>
              <w:rPr>
                <w:rFonts w:hint="eastAsia"/>
                <w:color w:val="auto"/>
                <w:sz w:val="24"/>
                <w:highlight w:val="none"/>
                <w:lang w:val="en-US" w:eastAsia="zh-CN"/>
              </w:rPr>
              <w:t xml:space="preserve">3</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公平竞争</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rPr>
                <w:rFonts w:hint="eastAsia"/>
                <w:color w:val="auto"/>
                <w:sz w:val="24"/>
                <w:highlight w:val="none"/>
              </w:rPr>
              <w:t xml:space="preserve">（由磋商小组审查，无需供应商提供材料）</w:t>
            </w:r>
            <w:r/>
          </w:p>
        </w:tc>
      </w:tr>
      <w:tr>
        <w:trPr>
          <w:jc w:val="center"/>
          <w:trHeight w:val="567"/>
        </w:trPr>
        <w:tc>
          <w:tcPr>
            <w:tcW w:w="403" w:type="pct"/>
            <w:vAlign w:val="center"/>
            <w:textDirection w:val="lrTb"/>
            <w:noWrap w:val="false"/>
          </w:tcPr>
          <w:p>
            <w:pPr>
              <w:jc w:val="center"/>
              <w:spacing w:line="360" w:lineRule="auto"/>
              <w:widowControl/>
              <w:rPr>
                <w:rFonts w:hint="eastAsia" w:eastAsia="宋体"/>
                <w:color w:val="auto"/>
                <w:sz w:val="24"/>
                <w:highlight w:val="none"/>
                <w:lang w:eastAsia="zh-CN"/>
              </w:rPr>
            </w:pPr>
            <w:r>
              <w:rPr>
                <w:color w:val="auto"/>
                <w:sz w:val="24"/>
                <w:highlight w:val="none"/>
              </w:rPr>
              <w:t xml:space="preserve">1</w:t>
            </w:r>
            <w:r>
              <w:rPr>
                <w:rFonts w:hint="eastAsia"/>
                <w:color w:val="auto"/>
                <w:sz w:val="24"/>
                <w:highlight w:val="none"/>
                <w:lang w:val="en-US" w:eastAsia="zh-CN"/>
              </w:rPr>
              <w:t xml:space="preserve">4</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串通响应</w:t>
            </w:r>
            <w:r/>
          </w:p>
        </w:tc>
        <w:tc>
          <w:tcPr>
            <w:tcW w:w="3620"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不存在《政府采购</w:t>
            </w:r>
            <w:r>
              <w:rPr>
                <w:rFonts w:hint="eastAsia"/>
                <w:color w:val="auto"/>
                <w:sz w:val="24"/>
                <w:highlight w:val="none"/>
              </w:rPr>
              <w:t xml:space="preserve">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3" w:type="pct"/>
            <w:vAlign w:val="center"/>
            <w:textDirection w:val="lrTb"/>
            <w:noWrap w:val="false"/>
          </w:tcPr>
          <w:p>
            <w:pPr>
              <w:jc w:val="center"/>
              <w:spacing w:line="360" w:lineRule="auto"/>
              <w:widowControl/>
              <w:rPr>
                <w:rFonts w:hint="eastAsia" w:eastAsia="宋体"/>
                <w:color w:val="auto"/>
                <w:sz w:val="24"/>
                <w:highlight w:val="none"/>
                <w:lang w:eastAsia="zh-CN"/>
              </w:rPr>
            </w:pPr>
            <w:r>
              <w:rPr>
                <w:color w:val="auto"/>
                <w:sz w:val="24"/>
                <w:highlight w:val="none"/>
              </w:rPr>
              <w:t xml:space="preserve">1</w:t>
            </w:r>
            <w:r>
              <w:rPr>
                <w:rFonts w:hint="eastAsia"/>
                <w:color w:val="auto"/>
                <w:sz w:val="24"/>
                <w:highlight w:val="none"/>
                <w:lang w:val="en-US" w:eastAsia="zh-CN"/>
              </w:rPr>
              <w:t xml:space="preserve">5</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附加条件</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rPr>
                <w:rFonts w:hint="eastAsia"/>
                <w:color w:val="auto"/>
                <w:sz w:val="24"/>
                <w:highlight w:val="none"/>
              </w:rPr>
              <w:t xml:space="preserve">（由磋商小组审查，无需供应商提供材料）</w:t>
            </w:r>
            <w:r/>
          </w:p>
        </w:tc>
      </w:tr>
      <w:tr>
        <w:trPr>
          <w:jc w:val="center"/>
          <w:trHeight w:val="685"/>
        </w:trPr>
        <w:tc>
          <w:tcPr>
            <w:tcW w:w="403" w:type="pct"/>
            <w:vAlign w:val="center"/>
            <w:textDirection w:val="lrTb"/>
            <w:noWrap w:val="false"/>
          </w:tcPr>
          <w:p>
            <w:pPr>
              <w:jc w:val="center"/>
              <w:spacing w:line="360" w:lineRule="auto"/>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6</w:t>
            </w:r>
            <w:r/>
          </w:p>
        </w:tc>
        <w:tc>
          <w:tcPr>
            <w:tcW w:w="975"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其他无效情形</w:t>
            </w:r>
            <w:r/>
          </w:p>
        </w:tc>
        <w:tc>
          <w:tcPr>
            <w:tcW w:w="3620" w:type="pct"/>
            <w:vAlign w:val="center"/>
            <w:textDirection w:val="lrTb"/>
            <w:noWrap w:val="false"/>
          </w:tcPr>
          <w:p>
            <w:pPr>
              <w:jc w:val="left"/>
              <w:spacing w:line="360" w:lineRule="auto"/>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rPr>
                <w:rFonts w:hint="eastAsia"/>
                <w:color w:val="auto"/>
                <w:sz w:val="24"/>
                <w:highlight w:val="none"/>
              </w:rPr>
              <w:t xml:space="preserve">（由磋商小组审查，无需供应商提供材料）</w:t>
            </w:r>
            <w:r/>
          </w:p>
        </w:tc>
      </w:tr>
      <w:tr>
        <w:trPr>
          <w:jc w:val="center"/>
          <w:trHeight w:val="685"/>
        </w:trPr>
        <w:tc>
          <w:tcPr>
            <w:tcW w:w="403" w:type="pct"/>
            <w:vAlign w:val="center"/>
            <w:textDirection w:val="lrTb"/>
            <w:noWrap w:val="false"/>
          </w:tcPr>
          <w:p>
            <w:pPr>
              <w:jc w:val="center"/>
              <w:spacing w:line="360" w:lineRule="auto"/>
              <w:widowControl/>
              <w:rPr>
                <w:rFonts w:hint="default" w:eastAsia="宋体"/>
                <w:color w:val="auto"/>
                <w:sz w:val="24"/>
                <w:highlight w:val="none"/>
                <w:lang w:val="en-US" w:eastAsia="zh-CN"/>
              </w:rPr>
            </w:pPr>
            <w:r>
              <w:rPr>
                <w:rFonts w:hint="eastAsia"/>
                <w:color w:val="auto"/>
                <w:sz w:val="24"/>
                <w:highlight w:val="none"/>
                <w:lang w:val="en-US" w:eastAsia="zh-CN"/>
              </w:rPr>
              <w:t xml:space="preserve">17</w:t>
            </w:r>
            <w:r/>
          </w:p>
        </w:tc>
        <w:tc>
          <w:tcPr>
            <w:tcW w:w="975"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实质性条款（★号条款）响应</w:t>
            </w:r>
            <w:r/>
          </w:p>
        </w:tc>
        <w:tc>
          <w:tcPr>
            <w:tcW w:w="3620" w:type="pct"/>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投标文件满足招标文件第五章《采购需求》中实质性条款（★号条款）要求的；如有的，根据下面列出的实质性条款，按照序号逐项提供相关证明材料；如没有的，则无需供应商提供材料。</w:t>
            </w:r>
            <w:r/>
          </w:p>
        </w:tc>
      </w:tr>
    </w:tbl>
    <w:p>
      <w:pPr>
        <w:numPr>
          <w:ilvl w:val="0"/>
          <w:numId w:val="0"/>
        </w:numPr>
        <w:spacing w:line="360" w:lineRule="auto"/>
        <w:tabs>
          <w:tab w:val="left" w:pos="360" w:leader="none"/>
        </w:tabs>
        <w:rPr>
          <w:rFonts w:hint="eastAsia"/>
          <w:color w:val="auto"/>
          <w:sz w:val="24"/>
          <w:highlight w:val="none"/>
          <w:lang w:val="en-US" w:eastAsia="zh-CN"/>
        </w:rPr>
        <w:outlineLvl w:val="1"/>
      </w:pPr>
      <w:r>
        <w:rPr>
          <w:rFonts w:hint="eastAsia"/>
          <w:color w:val="auto"/>
          <w:sz w:val="24"/>
          <w:highlight w:val="none"/>
          <w:lang w:val="en-US" w:eastAsia="zh-CN"/>
        </w:rPr>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2  </w:t>
      </w:r>
      <w:r>
        <w:rPr>
          <w:color w:val="auto"/>
          <w:sz w:val="24"/>
          <w:highlight w:val="none"/>
        </w:rPr>
        <w:t xml:space="preserve">磋商、响应文件有关事项的澄清、说明或者更正和最终报价</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磋商小组所有成员应当集中与单一供应商分别进行磋商，并给予所有参加磋商的供应商平等的磋商机会。</w:t>
      </w:r>
      <w:r/>
    </w:p>
    <w:p>
      <w:pPr>
        <w:numPr>
          <w:ilvl w:val="0"/>
          <w:numId w:val="0"/>
        </w:numPr>
        <w:spacing w:line="360" w:lineRule="auto"/>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2.2磋商小组启动异常低价响应审查的情形和具体要求，包括：</w:t>
      </w:r>
      <w:r/>
    </w:p>
    <w:p>
      <w:pPr>
        <w:numPr>
          <w:ilvl w:val="0"/>
          <w:numId w:val="0"/>
        </w:numPr>
        <w:spacing w:line="360" w:lineRule="auto"/>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2.2.1评审过程中出现下列情形之一的，磋商小组应当启动异常低价响应审查程序：</w:t>
      </w:r>
      <w:r/>
    </w:p>
    <w:p>
      <w:pPr>
        <w:numPr>
          <w:ilvl w:val="0"/>
          <w:numId w:val="0"/>
        </w:numPr>
        <w:spacing w:line="360" w:lineRule="auto"/>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1）投标报价低于采购项目预算50%的，即投标报价&lt;采购项目预算×50% </w:t>
      </w:r>
      <w:r/>
    </w:p>
    <w:p>
      <w:pPr>
        <w:numPr>
          <w:ilvl w:val="0"/>
          <w:numId w:val="0"/>
        </w:numPr>
        <w:spacing w:line="360" w:lineRule="auto"/>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2）投标报价低于采购项目最高限价45%的，即投标报价&lt;采购项目最高限价×45% </w:t>
      </w:r>
      <w:r/>
    </w:p>
    <w:p>
      <w:pPr>
        <w:numPr>
          <w:ilvl w:val="0"/>
          <w:numId w:val="0"/>
        </w:numPr>
        <w:spacing w:line="360" w:lineRule="auto"/>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3）磋商小组认定的供应商报价过低、有可能影响服务质量或者不能诚信履约的其他情形。</w:t>
      </w:r>
      <w:r/>
    </w:p>
    <w:p>
      <w:pPr>
        <w:numPr>
          <w:ilvl w:val="0"/>
          <w:numId w:val="0"/>
        </w:numPr>
        <w:spacing w:line="360" w:lineRule="auto"/>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2.2.2启动异常低价响应审查后，磋商小组应当要求相关供应商在评标现场合理的时间内，提供项目具体成本测算等与报价合理性相关的书面说明及相关证明材料，对投标价格作出解释，由磋商小组结合同类项目、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p>
    <w:p>
      <w:pPr>
        <w:numPr>
          <w:ilvl w:val="0"/>
          <w:numId w:val="0"/>
        </w:numPr>
        <w:spacing w:line="360" w:lineRule="auto"/>
        <w:tabs>
          <w:tab w:val="left" w:pos="1080" w:leader="none"/>
          <w:tab w:val="left" w:pos="1872" w:leader="none"/>
        </w:tabs>
        <w:rPr>
          <w:rFonts w:hint="eastAsia"/>
          <w:color w:val="auto"/>
          <w:sz w:val="24"/>
          <w:highlight w:val="none"/>
          <w:lang w:val="en-US" w:eastAsia="zh-CN"/>
        </w:rPr>
      </w:pPr>
      <w:r>
        <w:rPr>
          <w:rFonts w:hint="eastAsia"/>
          <w:color w:val="auto"/>
          <w:sz w:val="24"/>
          <w:highlight w:val="none"/>
          <w:lang w:val="en-US" w:eastAsia="zh-CN"/>
        </w:rPr>
        <w:t xml:space="preserve">2.2.3出现磋商文件规定的异常低价情形，磋商小组未启动异常低价审查或未对异常低价情形作出认定意见的，采购人应及时报告同级财政部门，由财政部门按照《中华人民共和国政府采购法实施条例》第七十五条追究磋商小组的法律责任。</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2.3</w:t>
      </w: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rPr>
        <w:t xml:space="preserve">2.</w:t>
      </w:r>
      <w:r>
        <w:rPr>
          <w:rFonts w:hint="eastAsia"/>
          <w:color w:val="auto"/>
          <w:sz w:val="24"/>
          <w:highlight w:val="none"/>
          <w:lang w:val="en-US" w:eastAsia="zh-CN"/>
        </w:rPr>
        <w:t xml:space="preserve">4</w:t>
      </w:r>
      <w:r>
        <w:rPr>
          <w:rFonts w:hint="eastAsia"/>
          <w:color w:val="auto"/>
          <w:sz w:val="24"/>
          <w:highlight w:val="none"/>
        </w:rPr>
        <w:t xml:space="preserve">对磋商文件作出的实质性变动是磋商文件的有效组成部分，磋商小组应当及时通过</w:t>
      </w:r>
      <w:r>
        <w:rPr>
          <w:rFonts w:hint="eastAsia"/>
          <w:color w:val="auto"/>
          <w:sz w:val="24"/>
          <w:highlight w:val="none"/>
          <w:lang w:eastAsia="zh-CN"/>
        </w:rPr>
        <w:t xml:space="preserve">“苏采云”政府采购一体化平台系统</w:t>
      </w:r>
      <w:r>
        <w:rPr>
          <w:rFonts w:hint="eastAsia"/>
          <w:color w:val="auto"/>
          <w:sz w:val="24"/>
          <w:highlight w:val="none"/>
        </w:rPr>
        <w:t xml:space="preserve">以书面形式同时通知所有参加磋商的供应商。</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响应文件的澄清、说明或者更正</w:t>
      </w:r>
      <w:r>
        <w:rPr>
          <w:rFonts w:hint="eastAsia"/>
          <w:color w:val="auto"/>
          <w:sz w:val="24"/>
          <w:highlight w:val="none"/>
        </w:rPr>
        <w:t xml:space="preserve">：</w:t>
      </w:r>
      <w:r/>
    </w:p>
    <w:p>
      <w:pPr>
        <w:spacing w:line="360" w:lineRule="auto"/>
        <w:tabs>
          <w:tab w:val="left" w:pos="1980" w:leader="none"/>
        </w:tabs>
        <w:rPr>
          <w:color w:val="auto"/>
          <w:sz w:val="24"/>
          <w:highlight w:val="none"/>
        </w:rPr>
      </w:pPr>
      <w:r>
        <w:rPr>
          <w:rFonts w:hint="eastAsia"/>
          <w:color w:val="auto"/>
          <w:sz w:val="24"/>
          <w:highlight w:val="none"/>
        </w:rPr>
        <w:t xml:space="preserve">评审过程中，磋商小组会将通过</w:t>
      </w:r>
      <w:r>
        <w:rPr>
          <w:rFonts w:hint="eastAsia"/>
          <w:color w:val="auto"/>
          <w:sz w:val="24"/>
          <w:highlight w:val="none"/>
          <w:lang w:eastAsia="zh-CN"/>
        </w:rPr>
        <w:t xml:space="preserve">“苏采云”政府采购一体化平台系统</w:t>
      </w:r>
      <w:r>
        <w:rPr>
          <w:rFonts w:hint="eastAsia"/>
          <w:color w:val="auto"/>
          <w:sz w:val="24"/>
          <w:highlight w:val="none"/>
        </w:rPr>
        <w:t xml:space="preserve">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color w:val="auto"/>
          <w:sz w:val="24"/>
          <w:highlight w:val="none"/>
        </w:rPr>
        <w:t xml:space="preserve">。</w:t>
      </w:r>
      <w:r/>
    </w:p>
    <w:p>
      <w:pPr>
        <w:numPr>
          <w:ilvl w:val="0"/>
          <w:numId w:val="0"/>
        </w:numPr>
        <w:spacing w:line="360" w:lineRule="auto"/>
        <w:tabs>
          <w:tab w:val="left" w:pos="1080" w:leader="none"/>
          <w:tab w:val="left" w:pos="1872" w:leader="none"/>
        </w:tabs>
        <w:rPr>
          <w:rFonts w:hint="default"/>
          <w:b/>
          <w:color w:val="auto"/>
          <w:sz w:val="24"/>
          <w:highlight w:val="none"/>
          <w:lang w:val="en-US" w:eastAsia="zh-CN"/>
        </w:rPr>
      </w:pPr>
      <w:r>
        <w:rPr>
          <w:rFonts w:hint="eastAsia"/>
          <w:b/>
          <w:color w:val="auto"/>
          <w:sz w:val="24"/>
          <w:highlight w:val="none"/>
        </w:rPr>
        <w:t xml:space="preserve">2.</w:t>
      </w:r>
      <w:r>
        <w:rPr>
          <w:rFonts w:hint="eastAsia"/>
          <w:b/>
          <w:color w:val="auto"/>
          <w:sz w:val="24"/>
          <w:highlight w:val="none"/>
          <w:lang w:val="en-US" w:eastAsia="zh-CN"/>
        </w:rPr>
        <w:t xml:space="preserve">7</w:t>
      </w:r>
      <w:r>
        <w:rPr>
          <w:rFonts w:hint="eastAsia"/>
          <w:b/>
          <w:color w:val="auto"/>
          <w:sz w:val="24"/>
          <w:highlight w:val="none"/>
        </w:rPr>
        <w:t xml:space="preserve">磋商结束后，磋商小组将要求所有实质性响应的供应商在规定时间内通过</w:t>
      </w:r>
      <w:r>
        <w:rPr>
          <w:rFonts w:hint="eastAsia"/>
          <w:b/>
          <w:color w:val="auto"/>
          <w:sz w:val="24"/>
          <w:highlight w:val="none"/>
          <w:lang w:eastAsia="zh-CN"/>
        </w:rPr>
        <w:t xml:space="preserve">“苏采云”政府采购一体化平台系统</w:t>
      </w:r>
      <w:r>
        <w:rPr>
          <w:rFonts w:hint="eastAsia"/>
          <w:b/>
          <w:color w:val="auto"/>
          <w:sz w:val="24"/>
          <w:highlight w:val="none"/>
        </w:rPr>
        <w:t xml:space="preserve">提交最终报价</w:t>
      </w:r>
      <w:r>
        <w:rPr>
          <w:rFonts w:hint="eastAsia"/>
          <w:b/>
          <w:color w:val="auto"/>
          <w:sz w:val="24"/>
          <w:highlight w:val="none"/>
          <w:lang w:eastAsia="zh-CN"/>
        </w:rPr>
        <w:t xml:space="preserve">。</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2.8</w:t>
      </w:r>
      <w:r>
        <w:rPr>
          <w:rFonts w:hint="eastAsia"/>
          <w:color w:val="auto"/>
          <w:sz w:val="24"/>
          <w:highlight w:val="none"/>
        </w:rPr>
        <w:t xml:space="preserve">磋商文件能够详细列明采购标的的技术、服务要求的，磋商结束后，磋商小组应当要求所有实</w:t>
      </w:r>
      <w:r>
        <w:rPr>
          <w:rFonts w:hint="eastAsia"/>
          <w:color w:val="auto"/>
          <w:sz w:val="24"/>
          <w:highlight w:val="none"/>
        </w:rPr>
        <w:t xml:space="preserve">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auto"/>
          <w:sz w:val="24"/>
          <w:highlight w:val="none"/>
        </w:rPr>
        <w:t xml:space="preserve">。</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最终报价是供应商响应文件的有效组成部分。</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2.10</w:t>
      </w:r>
      <w:r>
        <w:rPr>
          <w:color w:val="auto"/>
          <w:sz w:val="24"/>
          <w:highlight w:val="none"/>
        </w:rPr>
        <w:t xml:space="preserve">已提交响应文件的供应商，在提交最终报价之前，可以根据磋商情况退出磋商。</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3  </w:t>
      </w:r>
      <w:r>
        <w:rPr>
          <w:color w:val="auto"/>
          <w:sz w:val="24"/>
          <w:highlight w:val="none"/>
        </w:rPr>
        <w:t xml:space="preserve">最终报价的算术修正及政策调整</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最终报价出现前后不一致的，按照下列规定修正：</w:t>
      </w:r>
      <w:r/>
    </w:p>
    <w:p>
      <w:pPr>
        <w:numPr>
          <w:ilvl w:val="0"/>
          <w:numId w:val="0"/>
        </w:numPr>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lang w:val="en-US" w:eastAsia="zh-CN"/>
        </w:rPr>
        <w:t xml:space="preserve">3.2.1</w:t>
      </w:r>
      <w:r>
        <w:rPr>
          <w:color w:val="auto"/>
          <w:sz w:val="24"/>
          <w:highlight w:val="none"/>
        </w:rPr>
        <w:t xml:space="preserve">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无，按下述3.2.2-3.2.5项规定修正。</w:t>
      </w:r>
      <w:r/>
    </w:p>
    <w:p>
      <w:pPr>
        <w:numPr>
          <w:ilvl w:val="0"/>
          <w:numId w:val="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lang w:val="en-US" w:eastAsia="zh-CN"/>
        </w:rPr>
        <w:t xml:space="preserve">3.2.2</w:t>
      </w:r>
      <w:r>
        <w:rPr>
          <w:color w:val="auto"/>
          <w:sz w:val="24"/>
          <w:highlight w:val="none"/>
        </w:rPr>
        <w:t xml:space="preserve">大写金额和小写金额不一致的，以大写金额为准；</w:t>
      </w:r>
      <w:r/>
    </w:p>
    <w:p>
      <w:pPr>
        <w:numPr>
          <w:ilvl w:val="0"/>
          <w:numId w:val="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lang w:val="en-US" w:eastAsia="zh-CN"/>
        </w:rPr>
        <w:t xml:space="preserve">3.2.3</w:t>
      </w:r>
      <w:r>
        <w:rPr>
          <w:color w:val="auto"/>
          <w:sz w:val="24"/>
          <w:highlight w:val="none"/>
        </w:rPr>
        <w:t xml:space="preserve">单价金额小数点或者百分比有明显错位的，以最终报价一览表的总价为准，并修改单价；</w:t>
      </w:r>
      <w:r/>
    </w:p>
    <w:p>
      <w:pPr>
        <w:numPr>
          <w:ilvl w:val="0"/>
          <w:numId w:val="0"/>
        </w:numPr>
        <w:spacing w:line="360" w:lineRule="auto"/>
        <w:tabs>
          <w:tab w:val="left" w:pos="2035" w:leader="none"/>
          <w:tab w:val="left" w:pos="2114" w:leader="none"/>
          <w:tab w:val="left" w:pos="2977" w:leader="none"/>
        </w:tabs>
        <w:rPr>
          <w:color w:val="auto"/>
          <w:sz w:val="24"/>
          <w:highlight w:val="none"/>
        </w:rPr>
      </w:pPr>
      <w:r>
        <w:rPr>
          <w:rFonts w:hint="eastAsia"/>
          <w:color w:val="auto"/>
          <w:sz w:val="24"/>
          <w:highlight w:val="none"/>
          <w:lang w:val="en-US" w:eastAsia="zh-CN"/>
        </w:rPr>
        <w:t xml:space="preserve">3.2.4</w:t>
      </w:r>
      <w:r>
        <w:rPr>
          <w:color w:val="auto"/>
          <w:sz w:val="24"/>
          <w:highlight w:val="none"/>
        </w:rPr>
        <w:t xml:space="preserve">总价金额与按单价汇总金额不一致的，以单价金额计算结果为准。</w:t>
      </w:r>
      <w:r/>
    </w:p>
    <w:p>
      <w:pPr>
        <w:numPr>
          <w:ilvl w:val="0"/>
          <w:numId w:val="0"/>
        </w:numPr>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lang w:val="en-US" w:eastAsia="zh-CN"/>
        </w:rPr>
        <w:t xml:space="preserve">3.2.5</w:t>
      </w: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3.3</w:t>
      </w:r>
      <w:r>
        <w:rPr>
          <w:rFonts w:hint="eastAsia"/>
          <w:color w:val="auto"/>
          <w:sz w:val="24"/>
          <w:highlight w:val="none"/>
        </w:rPr>
        <w:t xml:space="preserve">落实政府采购政策的价格调整：只有符合第二章《供应商须知》4.2条规定情形的，可以享受中小企业扶持政策，用扣除后的价格参加评审；</w:t>
      </w:r>
      <w:r>
        <w:rPr>
          <w:rFonts w:hint="eastAsia"/>
          <w:b/>
          <w:bCs/>
          <w:color w:val="auto"/>
          <w:sz w:val="24"/>
          <w:highlight w:val="none"/>
        </w:rPr>
        <w:t xml:space="preserve">如是专门面向中小企业采购的项目，不再执行价格评审优惠的扶持政策，评标时价格不予扣除</w:t>
      </w:r>
      <w:r>
        <w:rPr>
          <w:color w:val="auto"/>
          <w:sz w:val="24"/>
          <w:highlight w:val="none"/>
        </w:rPr>
        <w:t xml:space="preserve">。</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3.3.1</w:t>
      </w: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rPr>
        <w:t xml:space="preserve">20</w:t>
      </w:r>
      <w:r>
        <w:rPr>
          <w:color w:val="auto"/>
          <w:sz w:val="24"/>
          <w:highlight w:val="none"/>
        </w:rPr>
        <w:t xml:space="preserve">%的扣除，用扣除后的价格参加评审。</w:t>
      </w:r>
      <w:r/>
    </w:p>
    <w:p>
      <w:pPr>
        <w:numPr>
          <w:ilvl w:val="0"/>
          <w:numId w:val="0"/>
        </w:numPr>
        <w:spacing w:line="360" w:lineRule="auto"/>
        <w:rPr>
          <w:color w:val="auto"/>
          <w:sz w:val="24"/>
          <w:highlight w:val="none"/>
        </w:rPr>
      </w:pPr>
      <w:r>
        <w:rPr>
          <w:rFonts w:hint="eastAsia"/>
          <w:color w:val="auto"/>
          <w:sz w:val="24"/>
          <w:highlight w:val="none"/>
          <w:lang w:val="en-US" w:eastAsia="zh-CN"/>
        </w:rPr>
        <w:t xml:space="preserve">3.3.2</w:t>
      </w:r>
      <w:r>
        <w:rPr>
          <w:rFonts w:hint="eastAsia"/>
          <w:color w:val="auto"/>
          <w:sz w:val="24"/>
          <w:highlight w:val="none"/>
        </w:rPr>
        <w:t xml:space="preserve">对于未预留份额专门面向中小企业采购的采购项目，以及预留份额项目中的非预留部分采购包，且接受大中型企业与</w:t>
      </w:r>
      <w:r>
        <w:rPr>
          <w:rFonts w:hint="eastAsia"/>
          <w:b/>
          <w:bCs/>
          <w:color w:val="auto"/>
          <w:sz w:val="24"/>
          <w:highlight w:val="none"/>
        </w:rPr>
        <w:t xml:space="preserve">小微企业</w:t>
      </w:r>
      <w:r>
        <w:rPr>
          <w:rFonts w:hint="eastAsia"/>
          <w:color w:val="auto"/>
          <w:sz w:val="24"/>
          <w:highlight w:val="none"/>
        </w:rPr>
        <w:t xml:space="preserve">组成联合体或者允许大中型企业向一家或者多家</w:t>
      </w:r>
      <w:r>
        <w:rPr>
          <w:rFonts w:hint="eastAsia"/>
          <w:b/>
          <w:bCs/>
          <w:color w:val="auto"/>
          <w:sz w:val="24"/>
          <w:highlight w:val="none"/>
        </w:rPr>
        <w:t xml:space="preserve">小微企业</w:t>
      </w:r>
      <w:r>
        <w:rPr>
          <w:rFonts w:hint="eastAsia"/>
          <w:color w:val="auto"/>
          <w:sz w:val="24"/>
          <w:highlight w:val="none"/>
        </w:rPr>
        <w:t xml:space="preserve">分包的采购项目，对于联合协议或者分包意向协议约定</w:t>
      </w:r>
      <w:r>
        <w:rPr>
          <w:rFonts w:hint="eastAsia"/>
          <w:b/>
          <w:bCs/>
          <w:color w:val="auto"/>
          <w:sz w:val="24"/>
          <w:highlight w:val="none"/>
        </w:rPr>
        <w:t xml:space="preserve">小微企业</w:t>
      </w:r>
      <w:r>
        <w:rPr>
          <w:rFonts w:hint="eastAsia"/>
          <w:color w:val="auto"/>
          <w:sz w:val="24"/>
          <w:highlight w:val="none"/>
        </w:rPr>
        <w:t xml:space="preserve">的合同份额占到合同总金额30%以上的联合体或者大中型企业的报价给予6%的扣除，用扣除后的价格参加评审</w:t>
      </w:r>
      <w:r>
        <w:rPr>
          <w:color w:val="auto"/>
          <w:sz w:val="24"/>
          <w:highlight w:val="none"/>
        </w:rPr>
        <w:t xml:space="preserve">。</w:t>
      </w:r>
      <w:r/>
    </w:p>
    <w:p>
      <w:pPr>
        <w:numPr>
          <w:ilvl w:val="0"/>
          <w:numId w:val="0"/>
        </w:numPr>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lang w:val="en-US" w:eastAsia="zh-CN"/>
        </w:rPr>
        <w:t xml:space="preserve">3.3.3</w:t>
      </w:r>
      <w:r>
        <w:rPr>
          <w:color w:val="auto"/>
          <w:sz w:val="24"/>
          <w:highlight w:val="none"/>
        </w:rPr>
        <w:t xml:space="preserve">组成联合体或者接受分包的小微企业与联合体内其他企业、分包企业之间存在直接控股、管理关系的，不享受价格扣除优惠政策。</w:t>
      </w:r>
      <w:r/>
    </w:p>
    <w:p>
      <w:pPr>
        <w:numPr>
          <w:ilvl w:val="0"/>
          <w:numId w:val="0"/>
        </w:numPr>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lang w:val="en-US" w:eastAsia="zh-CN"/>
        </w:rPr>
        <w:t xml:space="preserve">3.3.4</w:t>
      </w:r>
      <w:r>
        <w:rPr>
          <w:color w:val="auto"/>
          <w:sz w:val="24"/>
          <w:highlight w:val="none"/>
        </w:rPr>
        <w:t xml:space="preserve">价格扣除比例对小型企业和微型企业同等对待，不作区分。</w:t>
      </w:r>
      <w:r/>
    </w:p>
    <w:p>
      <w:pPr>
        <w:numPr>
          <w:ilvl w:val="0"/>
          <w:numId w:val="0"/>
        </w:numPr>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lang w:val="en-US" w:eastAsia="zh-CN"/>
        </w:rPr>
        <w:t xml:space="preserve">3.3.5</w:t>
      </w:r>
      <w:r>
        <w:rPr>
          <w:color w:val="auto"/>
          <w:sz w:val="24"/>
          <w:highlight w:val="none"/>
        </w:rPr>
        <w:t xml:space="preserve">中小企业参加政府采购活动，应当按照竞争性磋商文件给定的格式出具《中小企业声明函》，否则不得享受相关中小企业扶持政策。</w:t>
      </w:r>
      <w:r/>
    </w:p>
    <w:p>
      <w:pPr>
        <w:numPr>
          <w:ilvl w:val="0"/>
          <w:numId w:val="0"/>
        </w:numPr>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lang w:val="en-US" w:eastAsia="zh-CN"/>
        </w:rPr>
        <w:t xml:space="preserve">3.3.6</w:t>
      </w: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0"/>
          <w:numId w:val="0"/>
        </w:numPr>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lang w:val="en-US" w:eastAsia="zh-CN"/>
        </w:rPr>
        <w:t xml:space="preserve">3.3.7</w:t>
      </w:r>
      <w:r>
        <w:rPr>
          <w:color w:val="auto"/>
          <w:sz w:val="24"/>
          <w:highlight w:val="none"/>
        </w:rPr>
        <w:t xml:space="preserve">残疾人福利性单位按竞争性磋商文件要求提供了《残疾人福利性单位声明函》（见附件）的，视同小微企业。</w:t>
      </w:r>
      <w:r/>
    </w:p>
    <w:p>
      <w:pPr>
        <w:numPr>
          <w:ilvl w:val="0"/>
          <w:numId w:val="0"/>
        </w:numPr>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lang w:val="en-US" w:eastAsia="zh-CN"/>
        </w:rPr>
        <w:t xml:space="preserve">3.3.8</w:t>
      </w:r>
      <w:r>
        <w:rPr>
          <w:color w:val="auto"/>
          <w:sz w:val="24"/>
          <w:highlight w:val="none"/>
        </w:rPr>
        <w:t xml:space="preserve">若供应商同时属于小型或微型企业、监狱企业、残疾人福利性单位中的两种及以上，将不重复享受小微企业价格扣减的优惠政策。</w:t>
      </w:r>
      <w:r/>
    </w:p>
    <w:p>
      <w:pPr>
        <w:numPr>
          <w:ilvl w:val="0"/>
          <w:numId w:val="0"/>
        </w:numPr>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lang w:val="en-US" w:eastAsia="zh-CN"/>
        </w:rPr>
        <w:t xml:space="preserve">3.3.9</w:t>
      </w:r>
      <w:r>
        <w:rPr>
          <w:color w:val="auto"/>
          <w:sz w:val="24"/>
          <w:highlight w:val="none"/>
        </w:rPr>
        <w:t xml:space="preserve">其他为落实政府采购政策实施的优先采购：</w:t>
      </w:r>
      <w:r>
        <w:rPr>
          <w:rFonts w:hint="eastAsia"/>
          <w:color w:val="auto"/>
          <w:sz w:val="24"/>
          <w:highlight w:val="none"/>
          <w:u w:val="single"/>
          <w:lang w:val="en-US" w:eastAsia="zh-CN"/>
        </w:rPr>
        <w:t xml:space="preserve"> 无 </w:t>
      </w:r>
      <w:r>
        <w:rPr>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4  </w:t>
      </w: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4.1</w:t>
      </w:r>
      <w:r>
        <w:rPr>
          <w:color w:val="auto"/>
          <w:sz w:val="24"/>
          <w:highlight w:val="none"/>
        </w:rPr>
        <w:t xml:space="preserve">供应商对实质性变动不予确认的；</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4.2</w:t>
      </w: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4.3</w:t>
      </w:r>
      <w:r>
        <w:rPr>
          <w:color w:val="auto"/>
          <w:sz w:val="24"/>
          <w:highlight w:val="none"/>
        </w:rPr>
        <w:t xml:space="preserve">未按照磋商小组规定的时间、逾期提交最终报价的；</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4.4</w:t>
      </w:r>
      <w:r>
        <w:rPr>
          <w:color w:val="auto"/>
          <w:sz w:val="24"/>
          <w:highlight w:val="none"/>
        </w:rPr>
        <w:t xml:space="preserve">如供应商的最终报价超过竞争性磋商文件中规定的项目/采购包预算金额或者项目/采购包最高限价的；</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4.5</w:t>
      </w:r>
      <w:r>
        <w:rPr>
          <w:color w:val="auto"/>
          <w:sz w:val="24"/>
          <w:highlight w:val="none"/>
        </w:rPr>
        <w:t xml:space="preserve">响应文件中出现可选择性或可调整的报价的（竞争性磋商文件另有规定的除外）；</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4.6</w:t>
      </w:r>
      <w:r>
        <w:rPr>
          <w:color w:val="auto"/>
          <w:sz w:val="24"/>
          <w:highlight w:val="none"/>
        </w:rPr>
        <w:t xml:space="preserve">最终报价出现前后不一致，供应商对修正后的报价不予确认的；</w:t>
      </w:r>
      <w:r/>
    </w:p>
    <w:p>
      <w:pPr>
        <w:numPr>
          <w:ilvl w:val="0"/>
          <w:numId w:val="0"/>
        </w:numPr>
        <w:spacing w:line="360" w:lineRule="auto"/>
        <w:tabs>
          <w:tab w:val="left" w:pos="1080" w:leader="none"/>
        </w:tabs>
        <w:rPr>
          <w:color w:val="auto"/>
          <w:sz w:val="24"/>
          <w:highlight w:val="none"/>
        </w:rPr>
      </w:pPr>
      <w:r>
        <w:rPr>
          <w:rFonts w:hint="eastAsia"/>
          <w:color w:val="auto"/>
          <w:sz w:val="24"/>
          <w:highlight w:val="none"/>
          <w:lang w:val="en-US" w:eastAsia="zh-CN"/>
        </w:rPr>
        <w:t xml:space="preserve">4.7</w:t>
      </w:r>
      <w:r>
        <w:rPr>
          <w:color w:val="auto"/>
          <w:sz w:val="24"/>
          <w:highlight w:val="none"/>
        </w:rPr>
        <w:t xml:space="preserve">其他：</w:t>
      </w:r>
      <w:r>
        <w:rPr>
          <w:rFonts w:hint="eastAsia"/>
          <w:color w:val="auto"/>
          <w:sz w:val="24"/>
          <w:highlight w:val="none"/>
          <w:u w:val="single"/>
          <w:lang w:val="en-US" w:eastAsia="zh-CN"/>
        </w:rPr>
        <w:t xml:space="preserve"> 无   </w:t>
      </w:r>
      <w:r>
        <w:rPr>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5  </w:t>
      </w:r>
      <w:r>
        <w:rPr>
          <w:color w:val="auto"/>
          <w:sz w:val="24"/>
          <w:highlight w:val="none"/>
        </w:rPr>
        <w:t xml:space="preserve">评审方法和评审标准</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5.1</w:t>
      </w:r>
      <w:r>
        <w:rPr>
          <w:rFonts w:hint="eastAsia"/>
          <w:color w:val="auto"/>
          <w:sz w:val="24"/>
          <w:highlight w:val="none"/>
        </w:rPr>
        <w:t xml:space="preserve">本项目采用的评审方法为：综合评分法，指投标文件满足招标文件全部实质性要求，且按照评审因素的量化指标评审得分最高的投标人为中标候选人的评标方法，见《评标标准》，</w:t>
      </w:r>
      <w:r>
        <w:rPr>
          <w:rFonts w:hint="eastAsia"/>
          <w:color w:val="auto"/>
          <w:sz w:val="24"/>
          <w:highlight w:val="none"/>
          <w:lang w:val="en-US" w:eastAsia="zh-CN"/>
        </w:rPr>
        <w:t xml:space="preserve">采购</w:t>
      </w:r>
      <w:r>
        <w:rPr>
          <w:rFonts w:hint="eastAsia"/>
          <w:color w:val="auto"/>
          <w:sz w:val="24"/>
          <w:highlight w:val="none"/>
        </w:rPr>
        <w:t xml:space="preserve">文件中没有规定的评标标准不得作为评审的依据</w:t>
      </w:r>
      <w:r>
        <w:rPr>
          <w:color w:val="auto"/>
          <w:sz w:val="24"/>
          <w:highlight w:val="none"/>
        </w:rPr>
        <w:t xml:space="preserve">。  </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5.2</w:t>
      </w:r>
      <w:r>
        <w:rPr>
          <w:color w:val="auto"/>
          <w:sz w:val="24"/>
          <w:highlight w:val="none"/>
        </w:rPr>
        <w:t xml:space="preserve">竞争性磋商文件中没有规定的评审标准不得作为评审依据。</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5.3</w:t>
      </w: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rPr>
        <w:t xml:space="preserve">见评标标准相关评分项</w:t>
      </w:r>
      <w:r>
        <w:rPr>
          <w:color w:val="auto"/>
          <w:sz w:val="24"/>
          <w:highlight w:val="none"/>
        </w:rPr>
        <w:t xml:space="preserve">。</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5.4</w:t>
      </w:r>
      <w:r>
        <w:rPr>
          <w:color w:val="auto"/>
          <w:sz w:val="24"/>
          <w:highlight w:val="none"/>
        </w:rPr>
        <w:t xml:space="preserve">关于无线局域网认证产品政府采购清单中的产品，优先采购的具体规定（如涉及）</w:t>
      </w:r>
      <w:r>
        <w:rPr>
          <w:rFonts w:hint="eastAsia"/>
          <w:color w:val="auto"/>
          <w:sz w:val="24"/>
          <w:highlight w:val="none"/>
        </w:rPr>
        <w:t xml:space="preserve">见评标标准相关评分项</w:t>
      </w:r>
      <w:r>
        <w:rPr>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6  </w:t>
      </w:r>
      <w:r>
        <w:rPr>
          <w:color w:val="auto"/>
          <w:sz w:val="24"/>
          <w:highlight w:val="none"/>
        </w:rPr>
        <w:t xml:space="preserve">确定</w:t>
      </w:r>
      <w:bookmarkStart w:id="605" w:name="_Toc150480784"/>
      <w:r/>
      <w:bookmarkStart w:id="606" w:name="_Toc226337242"/>
      <w:r/>
      <w:bookmarkStart w:id="607" w:name="_Toc305158814"/>
      <w:r/>
      <w:bookmarkStart w:id="608" w:name="_Toc226965736"/>
      <w:r/>
      <w:bookmarkStart w:id="609" w:name="_Toc151193934"/>
      <w:r/>
      <w:bookmarkStart w:id="610" w:name="_Toc164229387"/>
      <w:r/>
      <w:bookmarkStart w:id="611" w:name="_Toc164608815"/>
      <w:r/>
      <w:bookmarkStart w:id="612" w:name="_Toc151190173"/>
      <w:r/>
      <w:bookmarkStart w:id="613" w:name="_Toc195842911"/>
      <w:r/>
      <w:bookmarkStart w:id="614" w:name="_Toc226965819"/>
      <w:r/>
      <w:bookmarkStart w:id="615" w:name="_Toc150774751"/>
      <w:r/>
      <w:bookmarkStart w:id="616" w:name="_Toc127151747"/>
      <w:r/>
      <w:bookmarkStart w:id="617" w:name="_Toc265228384"/>
      <w:r/>
      <w:bookmarkStart w:id="618" w:name="_Toc520356170"/>
      <w:r/>
      <w:bookmarkStart w:id="619" w:name="_Toc305158888"/>
      <w:r/>
      <w:bookmarkStart w:id="620" w:name="_Toc142311048"/>
      <w:r/>
      <w:bookmarkStart w:id="621" w:name="_Toc151193788"/>
      <w:r/>
      <w:bookmarkStart w:id="622" w:name="_Toc164229241"/>
      <w:r/>
      <w:bookmarkStart w:id="623" w:name="_Toc151193860"/>
      <w:r/>
      <w:bookmarkStart w:id="624" w:name="_Toc264969236"/>
      <w:r/>
      <w:bookmarkStart w:id="625" w:name="_Toc151193644"/>
      <w:r/>
      <w:bookmarkStart w:id="626" w:name="_Toc150509297"/>
      <w:r/>
      <w:bookmarkStart w:id="627" w:name="_Toc226309790"/>
      <w:r/>
      <w:bookmarkStart w:id="628" w:name="_Toc127151546"/>
      <w:r/>
      <w:bookmarkStart w:id="629" w:name="_Toc151193716"/>
      <w:r/>
      <w:bookmarkStart w:id="630" w:name="_Toc127161460"/>
      <w:r/>
      <w:bookmarkStart w:id="631" w:name="_Ref467307010"/>
      <w:r/>
      <w:bookmarkStart w:id="632" w:name="_Toc164608660"/>
      <w:r/>
      <w:bookmarkStart w:id="633" w:name="_Toc164351640"/>
      <w:r/>
      <w:bookmarkStart w:id="634" w:name="_Toc150774646"/>
      <w:r/>
      <w:bookmarkStart w:id="635" w:name="_Toc149720839"/>
      <w:r>
        <w:rPr>
          <w:color w:val="auto"/>
          <w:sz w:val="24"/>
          <w:highlight w:val="none"/>
        </w:rPr>
        <w:t xml:space="preserve">成交候选人名单</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6.1</w:t>
      </w:r>
      <w:r>
        <w:rPr>
          <w:rFonts w:hint="eastAsia"/>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color w:val="auto"/>
          <w:sz w:val="24"/>
          <w:highlight w:val="none"/>
        </w:rPr>
        <w:t xml:space="preserve">。 </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szCs w:val="20"/>
          <w:highlight w:val="none"/>
          <w:lang w:val="en-US" w:eastAsia="zh-CN"/>
        </w:rPr>
        <w:t xml:space="preserve">6.2</w:t>
      </w:r>
      <w:r>
        <w:rPr>
          <w:rFonts w:hint="eastAsia"/>
          <w:color w:val="auto"/>
          <w:sz w:val="24"/>
          <w:szCs w:val="20"/>
          <w:highlight w:val="none"/>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rPr>
          <w:color w:val="auto"/>
          <w:sz w:val="24"/>
          <w:szCs w:val="20"/>
          <w:highlight w:val="none"/>
        </w:rPr>
        <w:t xml:space="preserve">。</w:t>
      </w:r>
      <w:r/>
    </w:p>
    <w:p>
      <w:pPr>
        <w:numPr>
          <w:ilvl w:val="0"/>
          <w:numId w:val="0"/>
        </w:numPr>
        <w:spacing w:line="360" w:lineRule="auto"/>
        <w:tabs>
          <w:tab w:val="left" w:pos="1080" w:leader="none"/>
          <w:tab w:val="left" w:pos="1872" w:leader="none"/>
        </w:tabs>
        <w:rPr>
          <w:color w:val="auto"/>
          <w:sz w:val="24"/>
          <w:highlight w:val="none"/>
        </w:rPr>
      </w:pPr>
      <w:r>
        <w:rPr>
          <w:rFonts w:hint="eastAsia"/>
          <w:color w:val="auto"/>
          <w:sz w:val="24"/>
          <w:highlight w:val="none"/>
          <w:lang w:val="en-US" w:eastAsia="zh-CN"/>
        </w:rPr>
        <w:t xml:space="preserve">6.3</w:t>
      </w:r>
      <w:r>
        <w:rPr>
          <w:rFonts w:hint="eastAsia"/>
          <w:color w:val="auto"/>
          <w:sz w:val="24"/>
          <w:highlight w:val="none"/>
        </w:rPr>
        <w:t xml:space="preserve">磋商小组要对评分汇总情况进行复核，特别是对排名第一的、报价最低的、响应文件被认定为无效的情形进行重点复核</w:t>
      </w:r>
      <w:r>
        <w:rPr>
          <w:color w:val="auto"/>
          <w:sz w:val="24"/>
          <w:highlight w:val="none"/>
        </w:rPr>
        <w:t xml:space="preserve">。</w:t>
      </w:r>
      <w:r/>
    </w:p>
    <w:p>
      <w:pPr>
        <w:numPr>
          <w:ilvl w:val="0"/>
          <w:numId w:val="0"/>
        </w:numPr>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7  </w:t>
      </w:r>
      <w:r>
        <w:rPr>
          <w:color w:val="auto"/>
          <w:sz w:val="24"/>
          <w:highlight w:val="none"/>
        </w:rPr>
        <w:t xml:space="preserve">报告违法行为</w:t>
      </w:r>
      <w:r/>
    </w:p>
    <w:p>
      <w:pPr>
        <w:numPr>
          <w:ilvl w:val="0"/>
          <w:numId w:val="0"/>
        </w:numPr>
        <w:jc w:val="left"/>
        <w:spacing w:line="360" w:lineRule="auto"/>
        <w:widowControl/>
        <w:tabs>
          <w:tab w:val="left" w:pos="1080" w:leader="none"/>
          <w:tab w:val="left" w:pos="1872" w:leader="none"/>
        </w:tabs>
        <w:rPr>
          <w:b/>
          <w:sz w:val="24"/>
          <w:highlight w:val="none"/>
        </w:rPr>
      </w:pPr>
      <w:r>
        <w:rPr>
          <w:rFonts w:hint="eastAsia"/>
          <w:color w:val="auto"/>
          <w:sz w:val="24"/>
          <w:highlight w:val="none"/>
          <w:lang w:val="en-US" w:eastAsia="zh-CN"/>
        </w:rPr>
        <w:t xml:space="preserve">7.1</w:t>
      </w:r>
      <w:r>
        <w:rPr>
          <w:color w:val="auto"/>
          <w:sz w:val="24"/>
          <w:highlight w:val="none"/>
        </w:rPr>
        <w:t xml:space="preserve">磋商小组在评审过程中发现供应商有行贿、提供虚假材料或者串通等违法行为时，有向采购人、采购代理机构或者有关部门报告的职责。</w:t>
      </w:r>
      <w:r>
        <w:rPr>
          <w:b/>
          <w:sz w:val="24"/>
          <w:highlight w:val="none"/>
        </w:rPr>
        <w:br w:type="page" w:clear="all"/>
      </w:r>
      <w:r/>
    </w:p>
    <w:p>
      <w:pPr>
        <w:pStyle w:val="961"/>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7"/>
        <w:gridCol w:w="1586"/>
        <w:gridCol w:w="713"/>
        <w:gridCol w:w="4330"/>
        <w:gridCol w:w="1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满足磋商文件要求且最终报价最低的报价为评标基准价，其价格分为满分。其他供应商的价格分统一按照下列公式计算：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价格分得分＝（评标基准价/最终报价）×10%分值。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此处最终报价指经过报价修正，及因落实政府采购政策进行价格调整后的最终报价，详见第四章《评标方法和评标标准》3。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食品质量控制方案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食品质量控制方案进行评审，包括且不限于：①制定质量保障各项管理制度、②各类食材在存储及运输途中保证新鲜的保障措施、③鱼肉水产蔬菜新鲜度保障措施、④不合格产品处置制度等：根据以上内容进行综合评审，上述内容完整详细且满足采购文件及采购需求的得12分，每缺失一项内容扣3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w:t>
            </w:r>
            <w:r>
              <w:rPr>
                <w:rFonts w:ascii="SimSun" w:hAnsi="SimSun" w:eastAsia="SimSun" w:cs="SimSun"/>
                <w:color w:val="000000"/>
                <w:sz w:val="21"/>
              </w:rPr>
              <w:t xml:space="preserve">盾、套用其他方案、内容阐述与实际情况不符、不利于项目实施、不可能实现的情形、存在与本项目无关的内容描述或内容过于简略、对本项目的理解不准确等）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服务质量控制方案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的服务质量控制方案进行评分，包括但不限于以下内容：①服务质控体系、②全流程服务质控标准、③服务质量检测与评估、④客户服务等。根据以上内容进行综合评审，上述内容满足采购文件及采购需求的得12分，每缺失一项内容扣3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w:t>
            </w:r>
            <w:r>
              <w:rPr>
                <w:rFonts w:ascii="SimSun" w:hAnsi="SimSun" w:eastAsia="SimSun" w:cs="SimSun"/>
                <w:color w:val="000000"/>
                <w:sz w:val="21"/>
              </w:rPr>
              <w:t xml:space="preserve">能实现的情形、存在与本项目无关的内容描述或内容过于简略、对本项目的理解不准确等）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卫生管理控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制方案方案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的卫生管理控制方案进行评分，包括但不限于以下内容：①卫生管理组织架构与制度体系、②场地与设备卫生管控、③人员卫生操作规范、④食材卫生检测机制等。根据以上内容进行综合评审，上述内容满足采购文件及采购需求的得12分，每缺失一项内容扣3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w:t>
            </w:r>
            <w:r>
              <w:rPr>
                <w:rFonts w:ascii="SimSun" w:hAnsi="SimSun" w:eastAsia="SimSun" w:cs="SimSun"/>
                <w:color w:val="000000"/>
                <w:sz w:val="21"/>
              </w:rPr>
              <w:t xml:space="preserve">不利于项目实施、不可能实现的情形、存在与本项目无关的内容描述或内容过于简略、对本项目的理解不准确等）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内部管理机制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内部管理机制进行评审，包括且不限于：①内部管理架构、②监督机制、③自我约束机制、④信息反馈处理等：根据以上内容进行综合评审，上述内容完整详细且满足采购文件及采购需求的得12分，每缺失一项内容扣3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w:t>
            </w:r>
            <w:r>
              <w:rPr>
                <w:rFonts w:ascii="SimSun" w:hAnsi="SimSun" w:eastAsia="SimSun" w:cs="SimSun"/>
                <w:color w:val="000000"/>
                <w:sz w:val="21"/>
              </w:rPr>
              <w:t xml:space="preserve">情形、存在与本项目无关的内容描述或内容过于简略、对本项目的理解不准确等）</w:t>
            </w:r>
            <w:r/>
          </w:p>
          <w:p>
            <w:pPr>
              <w:ind w:left="0" w:right="0" w:firstLine="0"/>
              <w:jc w:val="both"/>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特色创新服务方案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特色创新服务方案进行评审，包括且不限于：①食品安全、②饭菜品种承诺、③安全卫生、④优惠承诺等：根据以上内容进行综合评审，上述内容完整详细且满足采购文件及采购需求的得12分，每缺失一项内容扣3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w:t>
            </w:r>
            <w:r>
              <w:rPr>
                <w:rFonts w:ascii="SimSun" w:hAnsi="SimSun" w:eastAsia="SimSun" w:cs="SimSun"/>
                <w:color w:val="000000"/>
                <w:sz w:val="21"/>
              </w:rPr>
              <w:t xml:space="preserve">、存在与本项目无关的内容描述或内容过于简略、对本项目的理解不准确等）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根据供应商对本项目应急预案方案进行评审，包括且不限于：①应急组织架构、②食品安全、③现场安全检查实施、④突发事件处理等应急处置能力强等：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以上内容进行综合评审，上述内容完整详细且满足采购文件及采购需求的得10分，每缺失一项内容扣2.5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具有有效期内的食品经营许可证得4分。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供应商至少提供一份自2023年01月01日以来（以合同签订时间或中标通知书签发时间为准），完成的类似项目业绩证明材料得4分，最高得4分。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①供应商针对本项目有固定的项目负责人，在响应单位有一年及以上工作经验，并能承诺项目负责人在本项目协议供货期内不得更换的，提供承诺书得2分，否则不得分。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②响应文件中提供项目负责人劳动合同、健康证、身份证</w:t>
            </w:r>
            <w:r>
              <w:rPr>
                <w:rFonts w:ascii="SimSun" w:hAnsi="SimSun" w:eastAsia="SimSun" w:cs="SimSun"/>
                <w:color w:val="000000"/>
                <w:sz w:val="21"/>
              </w:rPr>
              <w:t xml:space="preserve">的</w:t>
            </w:r>
            <w:r>
              <w:rPr>
                <w:rFonts w:ascii="SimSun" w:hAnsi="SimSun" w:eastAsia="SimSun" w:cs="SimSun"/>
                <w:color w:val="000000"/>
                <w:sz w:val="21"/>
              </w:rPr>
              <w:t xml:space="preserve">得2分，</w:t>
            </w:r>
            <w:r>
              <w:rPr>
                <w:rFonts w:ascii="SimSun" w:hAnsi="SimSun" w:eastAsia="SimSun" w:cs="SimSun"/>
                <w:color w:val="000000"/>
                <w:sz w:val="21"/>
              </w:rPr>
              <w:t xml:space="preserve">否则</w:t>
            </w:r>
            <w:r>
              <w:rPr>
                <w:rFonts w:ascii="SimSun" w:hAnsi="SimSun" w:eastAsia="SimSun" w:cs="SimSun"/>
                <w:color w:val="000000"/>
                <w:sz w:val="21"/>
              </w:rPr>
              <w:t xml:space="preserve">不得分</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配备人员中，具有政府部门颁发的中级及以上厨师证的得4分，最高得8分。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9" w:type="dxa"/>
            <w:vAlign w:val="center"/>
            <w:textDirection w:val="lrTb"/>
            <w:noWrap w:val="false"/>
          </w:tcPr>
          <w:p>
            <w:pPr>
              <w:spacing w:before="0" w:after="0" w:line="57" w:lineRule="atLeast"/>
            </w:pPr>
            <w:r/>
            <w:r/>
          </w:p>
        </w:tc>
      </w:tr>
    </w:tbl>
    <w:p>
      <w:pPr>
        <w:jc w:val="left"/>
        <w:spacing w:line="360" w:lineRule="auto"/>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r>
      <w:r/>
    </w:p>
    <w:p>
      <w:pPr>
        <w:jc w:val="left"/>
        <w:spacing w:line="360" w:lineRule="auto"/>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注： </w:t>
      </w:r>
      <w:r/>
    </w:p>
    <w:p>
      <w:pPr>
        <w:jc w:val="left"/>
        <w:spacing w:line="360" w:lineRule="auto"/>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1.评分细则中要求提供的证明文件及资料等在磋商响应文件中提供原件的扫描件，否则不得分。</w:t>
      </w:r>
      <w:r/>
    </w:p>
    <w:p>
      <w:pPr>
        <w:jc w:val="left"/>
        <w:spacing w:line="360" w:lineRule="auto"/>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2.评审时，未能按以上要求提供相应证明（原件、公证件）的原件扫描件，不作为评审依据，不得分。</w:t>
      </w:r>
      <w:r/>
    </w:p>
    <w:p>
      <w:pPr>
        <w:jc w:val="left"/>
        <w:spacing w:line="360" w:lineRule="auto"/>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3.为便于评分，请供应商按评分表样式，逐条列出证明材料所在页码，格式自定。</w:t>
      </w:r>
      <w:r/>
    </w:p>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jc w:val="center"/>
        <w:spacing w:line="360" w:lineRule="auto"/>
        <w:rPr>
          <w:b/>
          <w:sz w:val="36"/>
          <w:szCs w:val="36"/>
          <w:highlight w:val="none"/>
        </w:rPr>
        <w:outlineLvl w:val="0"/>
      </w:pPr>
      <w:r/>
      <w:bookmarkStart w:id="636" w:name="_Toc104818928"/>
      <w:r>
        <w:rPr>
          <w:b/>
          <w:sz w:val="36"/>
          <w:szCs w:val="36"/>
          <w:highlight w:val="none"/>
        </w:rPr>
        <w:t xml:space="preserve">第四章   采购需求</w:t>
      </w:r>
      <w:bookmarkEnd w:id="636"/>
      <w:r/>
      <w:r/>
    </w:p>
    <w:p>
      <w:pPr>
        <w:jc w:val="left"/>
        <w:spacing w:line="360" w:lineRule="auto"/>
        <w:tabs>
          <w:tab w:val="left" w:pos="360" w:leader="none"/>
          <w:tab w:val="left" w:pos="900" w:leader="none"/>
        </w:tabs>
        <w:rPr>
          <w:rFonts w:hint="default" w:ascii="宋体" w:hAnsi="宋体" w:eastAsia="宋体"/>
          <w:b/>
          <w:sz w:val="24"/>
          <w:lang w:val="en-US" w:eastAsia="zh-CN"/>
        </w:rPr>
        <w:outlineLvl w:val="1"/>
      </w:pPr>
      <w:r/>
      <w:bookmarkStart w:id="637" w:name="_Hlk121354517"/>
      <w:r/>
      <w:bookmarkStart w:id="638" w:name="_Toc104818929"/>
      <w:r/>
      <w:bookmarkStart w:id="639" w:name="_Toc104818930"/>
      <w:r>
        <w:rPr>
          <w:rFonts w:hint="eastAsia" w:ascii="宋体" w:hAnsi="宋体"/>
          <w:b/>
          <w:sz w:val="24"/>
        </w:rPr>
        <w:t xml:space="preserve">一、</w:t>
      </w:r>
      <w:r>
        <w:rPr>
          <w:rFonts w:hint="eastAsia" w:ascii="宋体" w:hAnsi="宋体"/>
          <w:b/>
          <w:sz w:val="24"/>
          <w:lang w:val="en-US" w:eastAsia="zh-CN"/>
        </w:rPr>
        <w:t xml:space="preserve">采购标的</w:t>
      </w:r>
      <w:r/>
    </w:p>
    <w:p>
      <w:pPr>
        <w:jc w:val="left"/>
        <w:spacing w:line="360" w:lineRule="auto"/>
        <w:tabs>
          <w:tab w:val="left" w:pos="360" w:leader="none"/>
          <w:tab w:val="left" w:pos="900" w:leader="none"/>
        </w:tabs>
        <w:rPr>
          <w:rFonts w:hint="eastAsia" w:ascii="宋体" w:hAnsi="宋体"/>
          <w:b w:val="0"/>
          <w:bCs/>
          <w:sz w:val="24"/>
          <w:lang w:val="en-US" w:eastAsia="zh-CN"/>
        </w:rPr>
        <w:outlineLvl w:val="1"/>
      </w:pPr>
      <w:r/>
      <w:bookmarkStart w:id="640" w:name="_Toc228255651"/>
      <w:r/>
      <w:bookmarkStart w:id="641" w:name="_Toc228692491"/>
      <w:r/>
      <w:bookmarkStart w:id="642" w:name="_Toc227463267"/>
      <w:r>
        <w:rPr>
          <w:rFonts w:hint="eastAsia" w:ascii="宋体" w:hAnsi="宋体"/>
          <w:b w:val="0"/>
          <w:bCs/>
          <w:sz w:val="24"/>
          <w:lang w:val="en-US" w:eastAsia="zh-CN"/>
        </w:rPr>
        <w:t xml:space="preserve">1.采购内容</w:t>
      </w:r>
      <w:r/>
    </w:p>
    <w:p>
      <w:pPr>
        <w:jc w:val="left"/>
        <w:spacing w:line="360" w:lineRule="auto"/>
        <w:tabs>
          <w:tab w:val="left" w:pos="360" w:leader="none"/>
          <w:tab w:val="left" w:pos="900" w:leader="none"/>
        </w:tabs>
        <w:rPr>
          <w:rFonts w:hint="eastAsia" w:ascii="宋体" w:hAnsi="宋体"/>
          <w:b/>
          <w:sz w:val="24"/>
        </w:rPr>
        <w:outlineLvl w:val="1"/>
      </w:pPr>
      <w:r>
        <w:rPr>
          <w:rFonts w:hint="eastAsia" w:ascii="宋体" w:hAnsi="宋体"/>
          <w:b w:val="0"/>
          <w:bCs/>
          <w:sz w:val="24"/>
          <w:lang w:val="en-US" w:eastAsia="zh-CN"/>
        </w:rPr>
        <w:t xml:space="preserve">为满足日常工作及保障各项活动正常开展，需在食堂采购餐饮委托运营服务，负责食堂现场的全面管理工作，承担食堂的早餐、午餐及晚餐的供应服务及人员工资发放等。</w:t>
      </w:r>
      <w:r/>
    </w:p>
    <w:p>
      <w:pPr>
        <w:jc w:val="left"/>
        <w:spacing w:line="360" w:lineRule="auto"/>
        <w:tabs>
          <w:tab w:val="left" w:pos="360" w:leader="none"/>
          <w:tab w:val="left" w:pos="900" w:leader="none"/>
        </w:tabs>
        <w:rPr>
          <w:rFonts w:hint="default" w:ascii="宋体" w:hAnsi="宋体" w:eastAsia="宋体"/>
          <w:b/>
          <w:sz w:val="24"/>
          <w:lang w:val="en-US" w:eastAsia="zh-CN"/>
        </w:rPr>
        <w:outlineLvl w:val="1"/>
      </w:pPr>
      <w:r>
        <w:rPr>
          <w:rFonts w:hint="eastAsia" w:ascii="宋体" w:hAnsi="宋体"/>
          <w:b/>
          <w:sz w:val="24"/>
        </w:rPr>
        <w:t xml:space="preserve">二、</w:t>
      </w:r>
      <w:r>
        <w:rPr>
          <w:rFonts w:hint="eastAsia" w:ascii="宋体" w:hAnsi="宋体"/>
          <w:b/>
          <w:sz w:val="24"/>
          <w:lang w:val="en-US" w:eastAsia="zh-CN"/>
        </w:rPr>
        <w:t xml:space="preserve">商务要求</w:t>
      </w:r>
      <w:bookmarkEnd w:id="640"/>
      <w:r/>
      <w:bookmarkEnd w:id="641"/>
      <w:r/>
      <w:bookmarkEnd w:id="642"/>
      <w:r/>
      <w:r/>
    </w:p>
    <w:p>
      <w:pPr>
        <w:numPr>
          <w:ilvl w:val="0"/>
          <w:numId w:val="0"/>
        </w:numPr>
        <w:jc w:val="left"/>
        <w:spacing w:line="360" w:lineRule="auto"/>
        <w:rPr>
          <w:rFonts w:hint="eastAsia" w:ascii="宋体" w:hAnsi="宋体"/>
          <w:bCs/>
          <w:sz w:val="24"/>
        </w:rPr>
      </w:pPr>
      <w:r>
        <w:rPr>
          <w:rFonts w:hint="eastAsia" w:ascii="宋体" w:hAnsi="宋体"/>
          <w:bCs/>
          <w:sz w:val="24"/>
        </w:rPr>
        <w:t xml:space="preserve">1.服务期限：合同签订后一年。</w:t>
      </w:r>
      <w:r/>
    </w:p>
    <w:p>
      <w:pPr>
        <w:numPr>
          <w:ilvl w:val="0"/>
          <w:numId w:val="0"/>
        </w:numPr>
        <w:jc w:val="left"/>
        <w:spacing w:line="360" w:lineRule="auto"/>
        <w:rPr>
          <w:rFonts w:hint="eastAsia" w:ascii="宋体" w:hAnsi="宋体"/>
          <w:bCs/>
          <w:sz w:val="24"/>
        </w:rPr>
      </w:pPr>
      <w:r>
        <w:rPr>
          <w:rFonts w:hint="eastAsia" w:ascii="宋体" w:hAnsi="宋体"/>
          <w:bCs/>
          <w:sz w:val="24"/>
        </w:rPr>
        <w:t xml:space="preserve">2.地点：</w:t>
      </w:r>
      <w:r>
        <w:rPr>
          <w:rFonts w:hint="eastAsia" w:ascii="宋体" w:hAnsi="宋体"/>
          <w:bCs/>
          <w:sz w:val="24"/>
          <w:lang w:val="en-US" w:eastAsia="zh-CN"/>
        </w:rPr>
        <w:t xml:space="preserve">古县街道</w:t>
      </w:r>
      <w:r>
        <w:rPr>
          <w:rFonts w:hint="eastAsia" w:ascii="宋体" w:hAnsi="宋体"/>
          <w:bCs/>
          <w:sz w:val="24"/>
        </w:rPr>
        <w:t xml:space="preserve">。</w:t>
      </w:r>
      <w:r/>
    </w:p>
    <w:p>
      <w:pPr>
        <w:numPr>
          <w:ilvl w:val="0"/>
          <w:numId w:val="0"/>
        </w:numPr>
        <w:jc w:val="left"/>
        <w:spacing w:line="360" w:lineRule="auto"/>
        <w:rPr>
          <w:rFonts w:hint="eastAsia" w:ascii="宋体" w:hAnsi="宋体"/>
          <w:bCs/>
          <w:sz w:val="24"/>
        </w:rPr>
      </w:pPr>
      <w:r>
        <w:rPr>
          <w:rFonts w:hint="eastAsia" w:ascii="宋体" w:hAnsi="宋体"/>
          <w:bCs/>
          <w:sz w:val="24"/>
        </w:rPr>
        <w:t xml:space="preserve">3.付款条件：采购人按月、按实结算人员工资费用。</w:t>
      </w:r>
      <w:r/>
    </w:p>
    <w:p>
      <w:pPr>
        <w:numPr>
          <w:ilvl w:val="0"/>
          <w:numId w:val="0"/>
        </w:numPr>
        <w:jc w:val="left"/>
        <w:spacing w:line="360" w:lineRule="auto"/>
        <w:rPr>
          <w:rFonts w:hint="default" w:ascii="宋体" w:hAnsi="宋体"/>
          <w:bCs/>
          <w:sz w:val="24"/>
          <w:lang w:val="en-US" w:eastAsia="zh-CN"/>
        </w:rPr>
      </w:pPr>
      <w:r>
        <w:rPr>
          <w:rFonts w:hint="eastAsia" w:ascii="宋体" w:hAnsi="宋体"/>
          <w:bCs/>
          <w:sz w:val="24"/>
        </w:rPr>
        <w:t xml:space="preserve">运营费用支付方式：合同签订后一个月内支付运营费用的60%，剩余40%于第二年付清。</w:t>
      </w:r>
      <w:r/>
    </w:p>
    <w:p>
      <w:pPr>
        <w:jc w:val="left"/>
        <w:spacing w:line="360" w:lineRule="auto"/>
        <w:rPr>
          <w:rFonts w:hint="eastAsia" w:ascii="宋体" w:hAnsi="宋体"/>
          <w:bCs/>
          <w:sz w:val="24"/>
        </w:rPr>
      </w:pPr>
      <w:r>
        <w:rPr>
          <w:rFonts w:hint="eastAsia" w:ascii="宋体" w:hAnsi="宋体"/>
          <w:b/>
          <w:bCs w:val="0"/>
          <w:sz w:val="24"/>
        </w:rPr>
        <w:t xml:space="preserve">三、技术要求</w:t>
      </w:r>
      <w:bookmarkEnd w:id="637"/>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1.食堂提供一日三餐，另外有公务接待时，要做好公务接待。</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2.提前一周将下周菜单交予采购人确认；</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3.提前一天预定隔天的菜肴，品种多样，新鲜，生熟分类，确保食品安全；</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4.定点采购，所有菜品都有索证，可追源头，专人对菜肴进行核对，验收，复称；做好食品留样；</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5.无特殊情况，准时开餐，平等待人，饭菜定量；</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6.食堂时刻保持清洁卫生，每餐后必须对食堂的餐椅、地面等进行擦洗并每周消毒2次，餐具清洗后做好消毒工作；</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7.所有员工每日检查个人卫生、工作期间必须穿戴工作服、帽子、戴好口罩，做到勤洗手、勤剪指甲、勤换工作服；</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8.做好安全工作，使用炊事用电器和燃气要严格遵守操作规程，防止事故发生；下班前检查各类电源开关，关好食堂门窗；</w:t>
      </w:r>
      <w:r/>
    </w:p>
    <w:p>
      <w:pPr>
        <w:jc w:val="left"/>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9.保障好所有值班人员的用餐；</w:t>
      </w:r>
      <w:r/>
    </w:p>
    <w:p>
      <w:pPr>
        <w:jc w:val="left"/>
        <w:spacing w:line="360" w:lineRule="auto"/>
        <w:rPr>
          <w:b/>
          <w:sz w:val="24"/>
          <w:szCs w:val="24"/>
          <w:highlight w:val="none"/>
        </w:rPr>
        <w:outlineLvl w:val="0"/>
      </w:pPr>
      <w:r>
        <w:rPr>
          <w:rFonts w:hint="eastAsia" w:ascii="宋体" w:hAnsi="宋体" w:eastAsia="宋体" w:cs="宋体"/>
          <w:color w:val="000000"/>
          <w:sz w:val="24"/>
          <w:szCs w:val="24"/>
          <w:lang w:val="en-US" w:eastAsia="zh-CN"/>
        </w:rPr>
        <w:t xml:space="preserve">10.积极与采购人沟通，虚心听取用餐人员的意见和要求，不断提高菜品质量。</w:t>
      </w:r>
      <w:r/>
    </w:p>
    <w:p>
      <w:pPr>
        <w:jc w:val="both"/>
        <w:spacing w:line="360" w:lineRule="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lang w:val="en-US" w:eastAsia="zh-CN"/>
        </w:rPr>
        <w:t xml:space="preserve">四、</w:t>
      </w:r>
      <w:r>
        <w:rPr>
          <w:rFonts w:hint="eastAsia" w:ascii="宋体" w:hAnsi="宋体" w:eastAsia="宋体" w:cs="宋体"/>
          <w:b/>
          <w:bCs w:val="0"/>
          <w:sz w:val="24"/>
          <w:szCs w:val="24"/>
          <w:highlight w:val="none"/>
        </w:rPr>
        <w:t xml:space="preserve">人员配置要求</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1.成交供应商可以根据现场实际工作量提出更优化的配置方案，但如有特殊情况需按采购人实际需求额外临时增加或减少人员，减少人员需提前一个月向采购人申请，同时做好减员相关手续。</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2.成交供应商须与所有人员签订劳动合同。</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服务期内，成交供应商不得随意调整人员，如果调整人员需提前一个月向采购人申请，在得到采购人同意后方可调整。调整后的人员必须符合或高于采购人招标要求的准入条件。如擅自调整人员，采购人有权解除本协议。</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4.服务期间，成交供应商对员工的安全负责，如因安全作业或安全预防措施不到位，造成的一切安全责任由成交供应商承担，与采购人无关。</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5.成交供应商所有员工的工资、福利、社会保险、服装、体检(办证)、税金、培训等均由成交供应商负责。</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6.成交供应商所有员工必须注重个人卫生，上班期间必须穿统一的工作服，戴工作帽、工号牌，窗口人员必须戴口罩、卫生手套。</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7.成交供应商及其员工在服务过程中，不得收取现金，不得私拿、私吃餐厅物品、食品，否则采购人有权进行处罚。</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8.重要岗位和人员更换须经采购人及管理方同意。所有人员必须无违法犯罪前科，并向采购人及管理方提供所有人员的人事档案。</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9.成交供应商必须严格按照《劳动法》及相关规定，规范用工及支付职工薪酬，必须符合本地最低工资标准，员工全员缴纳社保，不得拖欠克扣员工应有待遇，确保职工的相关权益，保证用工合法性和人员队伍稳定性。如因用工不规范或薪酬问题等产生的纠纷与采购人无关，由成交供应商负责解决。如发生债权、债务纠纷和工伤等责任事故，均由成交供应商负责承担。</w:t>
      </w:r>
      <w:r/>
    </w:p>
    <w:p>
      <w:pPr>
        <w:pStyle w:val="986"/>
        <w:ind w:left="0" w:firstLine="0"/>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10.成交供应商须按采购人要求的人员岗位、数量至指定地点服务。</w:t>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r>
      <w:r/>
    </w:p>
    <w:p>
      <w:pPr>
        <w:jc w:val="center"/>
        <w:spacing w:line="360" w:lineRule="auto"/>
        <w:rPr>
          <w:b/>
          <w:sz w:val="36"/>
          <w:szCs w:val="36"/>
          <w:highlight w:val="none"/>
        </w:rPr>
        <w:outlineLvl w:val="0"/>
      </w:pPr>
      <w:r>
        <w:rPr>
          <w:b/>
          <w:sz w:val="36"/>
          <w:szCs w:val="36"/>
          <w:highlight w:val="none"/>
        </w:rPr>
        <w:t xml:space="preserve">第五章   合同草案条款</w:t>
      </w:r>
      <w:bookmarkEnd w:id="638"/>
      <w:r/>
      <w:r/>
    </w:p>
    <w:p>
      <w:pPr>
        <w:jc w:val="left"/>
        <w:spacing w:line="360" w:lineRule="auto"/>
        <w:rPr>
          <w:rFonts w:hint="eastAsia" w:asciiTheme="minorEastAsia" w:hAnsiTheme="minorEastAsia" w:eastAsiaTheme="minorEastAsia" w:cstheme="minorEastAsia"/>
          <w:b/>
          <w:bCs/>
          <w:spacing w:val="60"/>
          <w:sz w:val="21"/>
          <w:szCs w:val="21"/>
          <w:highlight w:val="none"/>
        </w:rPr>
      </w:pPr>
      <w:r>
        <w:rPr>
          <w:rFonts w:hint="eastAsia" w:asciiTheme="minorEastAsia" w:hAnsiTheme="minorEastAsia" w:eastAsiaTheme="minorEastAsia" w:cstheme="minorEastAsia"/>
          <w:b/>
          <w:bCs/>
          <w:spacing w:val="60"/>
          <w:sz w:val="21"/>
          <w:szCs w:val="21"/>
          <w:highlight w:val="none"/>
        </w:rPr>
      </w:r>
      <w:r/>
    </w:p>
    <w:p>
      <w:pPr>
        <w:jc w:val="left"/>
        <w:spacing w:line="360" w:lineRule="auto"/>
        <w:rPr>
          <w:rFonts w:hint="eastAsia" w:asciiTheme="minorEastAsia" w:hAnsiTheme="minorEastAsia" w:eastAsiaTheme="minorEastAsia" w:cstheme="minorEastAsia"/>
          <w:b/>
          <w:bCs/>
          <w:spacing w:val="60"/>
          <w:sz w:val="21"/>
          <w:szCs w:val="21"/>
          <w:highlight w:val="none"/>
        </w:rPr>
      </w:pPr>
      <w:r>
        <w:rPr>
          <w:rFonts w:hint="eastAsia" w:asciiTheme="minorEastAsia" w:hAnsiTheme="minorEastAsia" w:eastAsiaTheme="minorEastAsia" w:cstheme="minorEastAsia"/>
          <w:b/>
          <w:bCs/>
          <w:spacing w:val="60"/>
          <w:sz w:val="21"/>
          <w:szCs w:val="21"/>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pStyle w:val="977"/>
        <w:rPr>
          <w:rFonts w:hint="eastAsia"/>
          <w:highlight w:val="none"/>
        </w:rPr>
      </w:pPr>
      <w:r>
        <w:rPr>
          <w:rFonts w:hint="eastAsia"/>
          <w:highlight w:val="none"/>
        </w:rPr>
      </w:r>
      <w:r/>
    </w:p>
    <w:p>
      <w:pPr>
        <w:jc w:val="left"/>
        <w:spacing w:line="360" w:lineRule="auto"/>
        <w:rPr>
          <w:rFonts w:hint="eastAsia" w:asciiTheme="minorEastAsia" w:hAnsiTheme="minorEastAsia" w:eastAsiaTheme="minorEastAsia" w:cstheme="minorEastAsia"/>
          <w:b/>
          <w:bCs/>
          <w:spacing w:val="60"/>
          <w:sz w:val="21"/>
          <w:szCs w:val="21"/>
          <w:highlight w:val="none"/>
        </w:rPr>
      </w:pPr>
      <w:r>
        <w:rPr>
          <w:rFonts w:hint="eastAsia" w:asciiTheme="minorEastAsia" w:hAnsiTheme="minorEastAsia" w:eastAsiaTheme="minorEastAsia" w:cstheme="minorEastAsia"/>
          <w:b/>
          <w:bCs/>
          <w:spacing w:val="60"/>
          <w:sz w:val="21"/>
          <w:szCs w:val="21"/>
          <w:highlight w:val="none"/>
        </w:rPr>
      </w:r>
      <w:r/>
    </w:p>
    <w:p>
      <w:pPr>
        <w:jc w:val="left"/>
        <w:spacing w:line="360" w:lineRule="auto"/>
        <w:rPr>
          <w:rFonts w:hint="eastAsia" w:asciiTheme="minorEastAsia" w:hAnsiTheme="minorEastAsia" w:eastAsiaTheme="minorEastAsia" w:cstheme="minorEastAsia"/>
          <w:b/>
          <w:bCs/>
          <w:spacing w:val="60"/>
          <w:sz w:val="21"/>
          <w:szCs w:val="21"/>
          <w:highlight w:val="none"/>
        </w:rPr>
      </w:pPr>
      <w:r>
        <w:rPr>
          <w:rFonts w:hint="eastAsia" w:asciiTheme="minorEastAsia" w:hAnsiTheme="minorEastAsia" w:eastAsiaTheme="minorEastAsia" w:cstheme="minorEastAsia"/>
          <w:b/>
          <w:bCs/>
          <w:spacing w:val="60"/>
          <w:sz w:val="21"/>
          <w:szCs w:val="21"/>
          <w:highlight w:val="none"/>
        </w:rPr>
      </w:r>
      <w:r/>
    </w:p>
    <w:p>
      <w:pPr>
        <w:pStyle w:val="977"/>
        <w:rPr>
          <w:rFonts w:hint="eastAsia"/>
          <w:highlight w:val="none"/>
        </w:rPr>
      </w:pPr>
      <w:r>
        <w:rPr>
          <w:rFonts w:hint="eastAsia"/>
          <w:highlight w:val="none"/>
        </w:rPr>
      </w:r>
      <w:r/>
    </w:p>
    <w:p>
      <w:pPr>
        <w:jc w:val="left"/>
        <w:spacing w:line="360" w:lineRule="auto"/>
        <w:rPr>
          <w:rFonts w:hint="eastAsia" w:asciiTheme="minorEastAsia" w:hAnsiTheme="minorEastAsia" w:eastAsiaTheme="minorEastAsia" w:cstheme="minorEastAsia"/>
          <w:b/>
          <w:bCs/>
          <w:spacing w:val="60"/>
          <w:sz w:val="21"/>
          <w:szCs w:val="21"/>
          <w:highlight w:val="none"/>
        </w:rPr>
      </w:pPr>
      <w:r>
        <w:rPr>
          <w:rFonts w:hint="eastAsia" w:asciiTheme="minorEastAsia" w:hAnsiTheme="minorEastAsia" w:eastAsiaTheme="minorEastAsia" w:cstheme="minorEastAsia"/>
          <w:b/>
          <w:bCs/>
          <w:spacing w:val="60"/>
          <w:sz w:val="21"/>
          <w:szCs w:val="21"/>
          <w:highlight w:val="none"/>
        </w:rPr>
      </w:r>
      <w:r/>
    </w:p>
    <w:p>
      <w:pPr>
        <w:jc w:val="center"/>
        <w:spacing w:line="360" w:lineRule="auto"/>
        <w:rPr>
          <w:rFonts w:hint="eastAsia" w:asciiTheme="minorEastAsia" w:hAnsiTheme="minorEastAsia" w:eastAsiaTheme="minorEastAsia" w:cstheme="minorEastAsia"/>
          <w:b/>
          <w:bCs/>
          <w:spacing w:val="60"/>
          <w:sz w:val="48"/>
          <w:szCs w:val="48"/>
          <w:highlight w:val="none"/>
        </w:rPr>
      </w:pPr>
      <w:r>
        <w:rPr>
          <w:rFonts w:hint="eastAsia" w:asciiTheme="minorEastAsia" w:hAnsiTheme="minorEastAsia" w:eastAsiaTheme="minorEastAsia" w:cstheme="minorEastAsia"/>
          <w:b/>
          <w:bCs/>
          <w:spacing w:val="60"/>
          <w:sz w:val="48"/>
          <w:szCs w:val="48"/>
          <w:highlight w:val="none"/>
        </w:rPr>
        <w:t xml:space="preserve">政府采购合同</w:t>
      </w:r>
      <w:r/>
    </w:p>
    <w:p>
      <w:pPr>
        <w:jc w:val="center"/>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r>
      <w:r/>
    </w:p>
    <w:p>
      <w:pPr>
        <w:jc w:val="center"/>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服务类</w:t>
      </w:r>
      <w:r>
        <w:rPr>
          <w:rFonts w:hint="eastAsia" w:asciiTheme="minorEastAsia" w:hAnsiTheme="minorEastAsia" w:eastAsiaTheme="minorEastAsia" w:cstheme="minorEastAsia"/>
          <w:b/>
          <w:bCs/>
          <w:sz w:val="24"/>
          <w:szCs w:val="24"/>
          <w:highlight w:val="none"/>
          <w:lang w:eastAsia="zh-CN"/>
        </w:rPr>
        <w:t xml:space="preserve">）</w:t>
      </w:r>
      <w:r/>
    </w:p>
    <w:p>
      <w:pPr>
        <w:ind w:left="178"/>
        <w:jc w:val="center"/>
        <w:spacing w:line="360" w:lineRule="auto"/>
        <w:tabs>
          <w:tab w:val="left" w:pos="198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jc w:val="center"/>
        <w:spacing w:line="360" w:lineRule="auto"/>
        <w:rPr>
          <w:rFonts w:hint="eastAsia" w:asciiTheme="minorEastAsia" w:hAnsiTheme="minorEastAsia" w:eastAsiaTheme="minorEastAsia" w:cstheme="minorEastAsia"/>
          <w:spacing w:val="8"/>
          <w:sz w:val="21"/>
          <w:szCs w:val="21"/>
          <w:highlight w:val="none"/>
        </w:rPr>
      </w:pPr>
      <w:r>
        <w:rPr>
          <w:rFonts w:hint="eastAsia" w:asciiTheme="minorEastAsia" w:hAnsiTheme="minorEastAsia" w:eastAsiaTheme="minorEastAsia" w:cstheme="minorEastAsia"/>
          <w:spacing w:val="8"/>
          <w:sz w:val="21"/>
          <w:szCs w:val="21"/>
          <w:highlight w:val="none"/>
        </w:rPr>
      </w:r>
      <w:r/>
    </w:p>
    <w:p>
      <w:pPr>
        <w:pStyle w:val="977"/>
        <w:jc w:val="center"/>
        <w:rPr>
          <w:rFonts w:hint="eastAsia"/>
          <w:highlight w:val="none"/>
        </w:rPr>
      </w:pPr>
      <w:r>
        <w:rPr>
          <w:rFonts w:hint="eastAsia"/>
          <w:b/>
          <w:bCs/>
          <w:highlight w:val="none"/>
        </w:rPr>
        <w:t xml:space="preserve">第一部分 合同书</w:t>
      </w:r>
      <w:r/>
    </w:p>
    <w:p>
      <w:pPr>
        <w:jc w:val="left"/>
        <w:spacing w:line="360" w:lineRule="auto"/>
        <w:rPr>
          <w:rFonts w:hint="eastAsia" w:asciiTheme="minorEastAsia" w:hAnsiTheme="minorEastAsia" w:eastAsiaTheme="minorEastAsia" w:cstheme="minorEastAsia"/>
          <w:spacing w:val="8"/>
          <w:sz w:val="21"/>
          <w:szCs w:val="21"/>
          <w:highlight w:val="none"/>
        </w:rPr>
      </w:pPr>
      <w:r>
        <w:rPr>
          <w:rFonts w:hint="eastAsia" w:asciiTheme="minorEastAsia" w:hAnsiTheme="minorEastAsia" w:eastAsiaTheme="minorEastAsia" w:cstheme="minorEastAsia"/>
          <w:spacing w:val="8"/>
          <w:sz w:val="21"/>
          <w:szCs w:val="21"/>
          <w:highlight w:val="none"/>
        </w:rPr>
      </w:r>
      <w:r/>
    </w:p>
    <w:p>
      <w:pPr>
        <w:pStyle w:val="977"/>
        <w:rPr>
          <w:rFonts w:hint="eastAsia" w:asciiTheme="minorEastAsia" w:hAnsiTheme="minorEastAsia" w:eastAsiaTheme="minorEastAsia" w:cstheme="minorEastAsia"/>
          <w:spacing w:val="8"/>
          <w:sz w:val="21"/>
          <w:szCs w:val="21"/>
          <w:highlight w:val="none"/>
        </w:rPr>
      </w:pPr>
      <w:r>
        <w:rPr>
          <w:rFonts w:hint="eastAsia" w:asciiTheme="minorEastAsia" w:hAnsiTheme="minorEastAsia" w:eastAsiaTheme="minorEastAsia" w:cstheme="minorEastAsia"/>
          <w:spacing w:val="8"/>
          <w:sz w:val="21"/>
          <w:szCs w:val="21"/>
          <w:highlight w:val="none"/>
        </w:rPr>
      </w:r>
      <w:r/>
    </w:p>
    <w:p>
      <w:pPr>
        <w:pStyle w:val="977"/>
        <w:rPr>
          <w:rFonts w:hint="eastAsia" w:asciiTheme="minorEastAsia" w:hAnsiTheme="minorEastAsia" w:eastAsiaTheme="minorEastAsia" w:cstheme="minorEastAsia"/>
          <w:spacing w:val="8"/>
          <w:sz w:val="21"/>
          <w:szCs w:val="21"/>
          <w:highlight w:val="none"/>
        </w:rPr>
      </w:pPr>
      <w:r>
        <w:rPr>
          <w:rFonts w:hint="eastAsia" w:asciiTheme="minorEastAsia" w:hAnsiTheme="minorEastAsia" w:eastAsiaTheme="minorEastAsia" w:cstheme="minorEastAsia"/>
          <w:spacing w:val="8"/>
          <w:sz w:val="21"/>
          <w:szCs w:val="21"/>
          <w:highlight w:val="none"/>
        </w:rPr>
      </w:r>
      <w:r/>
    </w:p>
    <w:p>
      <w:pPr>
        <w:pStyle w:val="977"/>
        <w:rPr>
          <w:rFonts w:hint="eastAsia" w:asciiTheme="minorEastAsia" w:hAnsiTheme="minorEastAsia" w:eastAsiaTheme="minorEastAsia" w:cstheme="minorEastAsia"/>
          <w:spacing w:val="8"/>
          <w:sz w:val="21"/>
          <w:szCs w:val="21"/>
          <w:highlight w:val="none"/>
        </w:rPr>
      </w:pPr>
      <w:r>
        <w:rPr>
          <w:rFonts w:hint="eastAsia" w:asciiTheme="minorEastAsia" w:hAnsiTheme="minorEastAsia" w:eastAsiaTheme="minorEastAsia" w:cstheme="minorEastAsia"/>
          <w:spacing w:val="8"/>
          <w:sz w:val="21"/>
          <w:szCs w:val="21"/>
          <w:highlight w:val="none"/>
        </w:rPr>
      </w:r>
      <w:r/>
    </w:p>
    <w:p>
      <w:pPr>
        <w:pStyle w:val="977"/>
        <w:rPr>
          <w:rFonts w:hint="eastAsia" w:asciiTheme="minorEastAsia" w:hAnsiTheme="minorEastAsia" w:eastAsiaTheme="minorEastAsia" w:cstheme="minorEastAsia"/>
          <w:spacing w:val="8"/>
          <w:sz w:val="21"/>
          <w:szCs w:val="21"/>
          <w:highlight w:val="none"/>
        </w:rPr>
      </w:pPr>
      <w:r>
        <w:rPr>
          <w:rFonts w:hint="eastAsia" w:asciiTheme="minorEastAsia" w:hAnsiTheme="minorEastAsia" w:eastAsiaTheme="minorEastAsia" w:cstheme="minorEastAsia"/>
          <w:spacing w:val="8"/>
          <w:sz w:val="21"/>
          <w:szCs w:val="21"/>
          <w:highlight w:val="none"/>
        </w:rPr>
      </w:r>
      <w:r/>
    </w:p>
    <w:p>
      <w:pPr>
        <w:pStyle w:val="977"/>
        <w:rPr>
          <w:rFonts w:hint="eastAsia" w:asciiTheme="minorEastAsia" w:hAnsiTheme="minorEastAsia" w:eastAsiaTheme="minorEastAsia" w:cstheme="minorEastAsia"/>
          <w:spacing w:val="8"/>
          <w:sz w:val="21"/>
          <w:szCs w:val="21"/>
          <w:highlight w:val="none"/>
        </w:rPr>
      </w:pPr>
      <w:r>
        <w:rPr>
          <w:rFonts w:hint="eastAsia" w:asciiTheme="minorEastAsia" w:hAnsiTheme="minorEastAsia" w:eastAsiaTheme="minorEastAsia" w:cstheme="minorEastAsia"/>
          <w:spacing w:val="8"/>
          <w:sz w:val="21"/>
          <w:szCs w:val="21"/>
          <w:highlight w:val="none"/>
        </w:rPr>
      </w:r>
      <w:r/>
    </w:p>
    <w:p>
      <w:pPr>
        <w:ind w:left="960"/>
        <w:jc w:val="left"/>
        <w:spacing w:before="12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u w:val="single"/>
          <w:lang w:eastAsia="zh-CN"/>
        </w:rPr>
        <w:t xml:space="preserve">古县街道食堂人员委托管理项目</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p>
    <w:p>
      <w:pPr>
        <w:ind w:left="960"/>
        <w:jc w:val="left"/>
        <w:keepLines w:val="0"/>
        <w:keepNext w:val="0"/>
        <w:pageBreakBefore w:val="0"/>
        <w:spacing w:afterAutospacing="0" w:line="480" w:lineRule="auto"/>
        <w:widowControl/>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 xml:space="preserve">甲    方</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eastAsia="zh-CN"/>
        </w:rPr>
        <w:t xml:space="preserve">溧阳市人民政府古县街道办事处</w:t>
      </w:r>
      <w:r>
        <w:rPr>
          <w:rFonts w:hint="eastAsia" w:ascii="宋体" w:hAnsi="宋体" w:cs="宋体"/>
          <w:sz w:val="24"/>
          <w:szCs w:val="24"/>
          <w:highlight w:val="none"/>
          <w:u w:val="single"/>
          <w:lang w:val="en-US" w:eastAsia="zh-CN"/>
        </w:rPr>
        <w:t xml:space="preserve">                 </w:t>
      </w:r>
      <w:r/>
    </w:p>
    <w:p>
      <w:pPr>
        <w:ind w:left="960"/>
        <w:jc w:val="left"/>
        <w:keepLines w:val="0"/>
        <w:keepNext w:val="0"/>
        <w:pageBreakBefore w:val="0"/>
        <w:spacing w:afterAutospacing="0" w:line="48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乙    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p>
    <w:p>
      <w:pPr>
        <w:ind w:firstLine="960"/>
        <w:jc w:val="left"/>
        <w:keepLines w:val="0"/>
        <w:keepNext w:val="0"/>
        <w:pageBreakBefore w:val="0"/>
        <w:spacing w:afterAutospacing="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订</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地：</w:t>
      </w:r>
      <w:r>
        <w:rPr>
          <w:rFonts w:hint="eastAsia" w:ascii="宋体" w:hAnsi="宋体" w:cs="宋体"/>
          <w:sz w:val="24"/>
          <w:szCs w:val="24"/>
          <w:highlight w:val="none"/>
          <w:u w:val="single"/>
          <w:lang w:val="en-US" w:eastAsia="zh-CN"/>
        </w:rPr>
        <w:t xml:space="preserve">溧阳市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96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2026</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spacing w:line="440" w:lineRule="exact"/>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r>
      <w:r/>
    </w:p>
    <w:p>
      <w:pPr>
        <w:ind w:firstLine="480"/>
        <w:spacing w:line="440" w:lineRule="exact"/>
        <w:rPr>
          <w:rFonts w:hint="eastAsia" w:ascii="宋体" w:hAnsi="宋体" w:cs="宋体"/>
          <w:color w:val="000000"/>
          <w:sz w:val="24"/>
          <w:szCs w:val="24"/>
          <w:highlight w:val="none"/>
          <w:u w:val="single"/>
          <w:lang w:val="en-US" w:eastAsia="zh-CN"/>
        </w:rPr>
      </w:pPr>
      <w:r>
        <w:rPr>
          <w:rFonts w:hint="eastAsia" w:ascii="宋体" w:hAnsi="宋体" w:cs="宋体"/>
          <w:color w:val="000000"/>
          <w:sz w:val="24"/>
          <w:highlight w:val="none"/>
          <w:u w:val="single"/>
          <w:lang w:val="en-US" w:eastAsia="zh-CN"/>
        </w:rPr>
      </w:r>
      <w:r>
        <w:rPr>
          <w:rFonts w:hint="eastAsia" w:ascii="宋体" w:hAnsi="宋体" w:cs="宋体"/>
          <w:color w:val="000000"/>
          <w:sz w:val="24"/>
          <w:highlight w:val="none"/>
          <w:u w:val="single"/>
          <w:lang w:val="en-US" w:eastAsia="zh-CN"/>
        </w:rPr>
      </w:r>
      <w:r/>
    </w:p>
    <w:p>
      <w:pPr>
        <w:ind w:firstLine="480"/>
        <w:spacing w:line="440" w:lineRule="exact"/>
        <w:rPr>
          <w:rFonts w:hint="eastAsia" w:ascii="宋体" w:hAnsi="宋体" w:cs="宋体"/>
          <w:color w:val="000000"/>
          <w:sz w:val="24"/>
          <w:szCs w:val="24"/>
          <w:highlight w:val="none"/>
          <w:u w:val="single"/>
          <w:lang w:val="en-US" w:eastAsia="zh-CN"/>
        </w:rPr>
      </w:pPr>
      <w:r>
        <w:rPr>
          <w:rFonts w:hint="eastAsia" w:ascii="宋体" w:hAnsi="宋体" w:cs="宋体"/>
          <w:color w:val="000000"/>
          <w:sz w:val="24"/>
          <w:szCs w:val="24"/>
          <w:highlight w:val="none"/>
          <w:u w:val="single"/>
          <w:lang w:val="en-US" w:eastAsia="zh-CN"/>
        </w:rPr>
      </w:r>
      <w:r>
        <w:rPr>
          <w:rFonts w:hint="eastAsia" w:ascii="宋体" w:hAnsi="宋体" w:cs="宋体"/>
          <w:color w:val="000000"/>
          <w:sz w:val="24"/>
          <w:szCs w:val="24"/>
          <w:highlight w:val="none"/>
          <w:u w:val="single"/>
          <w:lang w:val="en-US" w:eastAsia="zh-CN"/>
        </w:rPr>
      </w:r>
      <w:r/>
    </w:p>
    <w:p>
      <w:pPr>
        <w:ind w:firstLine="480"/>
        <w:spacing w:line="440" w:lineRule="exact"/>
        <w:rPr>
          <w:rFonts w:hint="eastAsia" w:ascii="宋体" w:hAnsi="宋体" w:cs="宋体"/>
          <w:color w:val="000000"/>
          <w:sz w:val="24"/>
          <w:szCs w:val="24"/>
          <w:highlight w:val="none"/>
          <w:u w:val="single"/>
          <w:lang w:val="en-US" w:eastAsia="zh-CN"/>
        </w:rPr>
      </w:pPr>
      <w:r>
        <w:rPr>
          <w:rFonts w:hint="eastAsia" w:ascii="宋体" w:hAnsi="宋体" w:cs="宋体"/>
          <w:color w:val="000000"/>
          <w:sz w:val="24"/>
          <w:highlight w:val="none"/>
          <w:u w:val="single"/>
          <w:lang w:val="en-US" w:eastAsia="zh-CN"/>
        </w:rPr>
      </w:r>
      <w:r/>
    </w:p>
    <w:p>
      <w:pPr>
        <w:jc w:val="left"/>
        <w:spacing w:line="360" w:lineRule="auto"/>
        <w:rPr>
          <w:rFonts w:asciiTheme="minorEastAsia" w:hAnsiTheme="minorEastAsia" w:eastAsiaTheme="minorEastAsia" w:cstheme="minorEastAsia"/>
          <w:b/>
          <w:bCs/>
          <w:spacing w:val="60"/>
          <w:szCs w:val="21"/>
        </w:rPr>
      </w:pPr>
      <w:r>
        <w:rPr>
          <w:rFonts w:asciiTheme="minorEastAsia" w:hAnsiTheme="minorEastAsia" w:eastAsiaTheme="minorEastAsia" w:cstheme="minorEastAsia"/>
          <w:b/>
          <w:bCs/>
          <w:spacing w:val="60"/>
          <w:szCs w:val="21"/>
        </w:rPr>
      </w:r>
      <w:r/>
    </w:p>
    <w:p>
      <w:pPr>
        <w:pStyle w:val="967"/>
        <w:ind w:left="0" w:firstLine="480"/>
        <w:keepLines w:val="0"/>
        <w:keepNext w:val="0"/>
        <w:pageBreakBefore w:val="0"/>
        <w:spacing w:line="360" w:lineRule="auto"/>
        <w:rPr>
          <w:rFonts w:hint="eastAsia" w:ascii="宋体" w:hAnsi="宋体" w:eastAsia="宋体" w:cs="宋体"/>
          <w:color w:val="000000"/>
          <w:sz w:val="24"/>
          <w:szCs w:val="24"/>
        </w:rPr>
      </w:pPr>
      <w:r/>
      <w:bookmarkStart w:id="643" w:name="_Toc4693"/>
      <w:r/>
      <w:bookmarkStart w:id="644" w:name="_Toc20208"/>
      <w:r>
        <w:rPr>
          <w:rFonts w:hint="eastAsia" w:ascii="宋体" w:hAnsi="宋体" w:eastAsia="宋体" w:cs="宋体"/>
          <w:color w:val="000000"/>
          <w:sz w:val="24"/>
          <w:szCs w:val="24"/>
        </w:rPr>
        <w:t xml:space="preserve">甲乙双方依据《中华人民共和国民法典》以及有关法律、法规的规定，经协商一致，订立本合同，以便共同遵守。</w:t>
      </w:r>
      <w:r/>
    </w:p>
    <w:p>
      <w:pPr>
        <w:ind w:left="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pacing w:val="-12"/>
          <w:sz w:val="24"/>
          <w:szCs w:val="24"/>
        </w:rPr>
        <w:t xml:space="preserve">一</w:t>
      </w:r>
      <w:r>
        <w:rPr>
          <w:rFonts w:hint="eastAsia" w:ascii="宋体" w:hAnsi="宋体" w:eastAsia="宋体" w:cs="宋体"/>
          <w:b/>
          <w:bCs/>
          <w:spacing w:val="-7"/>
          <w:sz w:val="24"/>
          <w:szCs w:val="24"/>
        </w:rPr>
        <w:t xml:space="preserve">、 项目基本情况</w:t>
      </w:r>
      <w:r/>
    </w:p>
    <w:p>
      <w:pPr>
        <w:ind w:left="0"/>
        <w:keepLines w:val="0"/>
        <w:keepNext w:val="0"/>
        <w:pageBreakBefore w:val="0"/>
        <w:spacing w:line="360" w:lineRule="auto"/>
        <w:rPr>
          <w:rFonts w:hint="eastAsia" w:ascii="宋体" w:hAnsi="宋体" w:eastAsia="宋体" w:cs="宋体"/>
          <w:sz w:val="24"/>
          <w:szCs w:val="24"/>
          <w:u w:val="single"/>
          <w:lang w:val="en-US" w:eastAsia="zh-CN"/>
        </w:rPr>
      </w:pPr>
      <w:r>
        <w:rPr>
          <w:rFonts w:hint="eastAsia" w:ascii="宋体" w:hAnsi="宋体" w:eastAsia="宋体" w:cs="宋体"/>
          <w:spacing w:val="-4"/>
          <w:sz w:val="24"/>
          <w:szCs w:val="24"/>
        </w:rPr>
        <w:t xml:space="preserve">1 、项目名称</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lang w:val="en-US" w:eastAsia="zh-CN"/>
        </w:rPr>
        <w:t xml:space="preserve">                      </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2 、采购内容：</w:t>
      </w:r>
      <w:r>
        <w:rPr>
          <w:rFonts w:hint="eastAsia" w:ascii="宋体" w:hAnsi="宋体" w:eastAsia="宋体" w:cs="宋体"/>
          <w:spacing w:val="-3"/>
          <w:sz w:val="24"/>
          <w:szCs w:val="24"/>
          <w:u w:val="single"/>
          <w:lang w:val="en-US" w:eastAsia="zh-CN"/>
        </w:rPr>
        <w:t xml:space="preserve">                      </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3 、服务</w:t>
      </w:r>
      <w:r>
        <w:rPr>
          <w:rFonts w:hint="eastAsia" w:ascii="宋体" w:hAnsi="宋体" w:eastAsia="宋体" w:cs="宋体"/>
          <w:spacing w:val="-1"/>
          <w:sz w:val="24"/>
          <w:szCs w:val="24"/>
        </w:rPr>
        <w:t xml:space="preserve">期限：</w:t>
      </w:r>
      <w:r>
        <w:rPr>
          <w:rFonts w:hint="eastAsia" w:ascii="宋体" w:hAnsi="宋体" w:eastAsia="宋体" w:cs="宋体"/>
          <w:spacing w:val="-3"/>
          <w:sz w:val="24"/>
          <w:szCs w:val="24"/>
          <w:u w:val="single"/>
          <w:lang w:val="en-US" w:eastAsia="zh-CN"/>
        </w:rPr>
        <w:t xml:space="preserve">                      </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4 、合同价款：￥</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元 (小写)</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(大</w:t>
      </w:r>
      <w:r>
        <w:rPr>
          <w:rFonts w:hint="eastAsia" w:ascii="宋体" w:hAnsi="宋体" w:eastAsia="宋体" w:cs="宋体"/>
          <w:spacing w:val="1"/>
          <w:sz w:val="24"/>
          <w:szCs w:val="24"/>
        </w:rPr>
        <w:t xml:space="preserve">写</w:t>
      </w:r>
      <w:r>
        <w:rPr>
          <w:rFonts w:hint="eastAsia" w:ascii="宋体" w:hAnsi="宋体" w:eastAsia="宋体" w:cs="宋体"/>
          <w:sz w:val="24"/>
          <w:szCs w:val="24"/>
        </w:rPr>
        <w:t xml:space="preserve">)</w:t>
      </w:r>
      <w:r/>
    </w:p>
    <w:p>
      <w:pPr>
        <w:ind w:left="0"/>
        <w:keepLines w:val="0"/>
        <w:keepNext w:val="0"/>
        <w:pageBreakBefore w:val="0"/>
        <w:spacing w:line="360" w:lineRule="auto"/>
        <w:rPr>
          <w:rFonts w:hint="eastAsia" w:ascii="宋体" w:hAnsi="宋体" w:eastAsia="宋体" w:cs="宋体"/>
          <w:spacing w:val="-1"/>
          <w:sz w:val="24"/>
          <w:szCs w:val="24"/>
        </w:rPr>
      </w:pPr>
      <w:r>
        <w:rPr>
          <w:rFonts w:hint="eastAsia" w:ascii="宋体" w:hAnsi="宋体" w:eastAsia="宋体" w:cs="宋体"/>
          <w:spacing w:val="-2"/>
          <w:sz w:val="24"/>
          <w:szCs w:val="24"/>
        </w:rPr>
        <w:t xml:space="preserve">5 、分项报价</w:t>
      </w:r>
      <w:r>
        <w:rPr>
          <w:rFonts w:hint="eastAsia" w:ascii="宋体" w:hAnsi="宋体" w:eastAsia="宋体" w:cs="宋体"/>
          <w:spacing w:val="-1"/>
          <w:sz w:val="24"/>
          <w:szCs w:val="24"/>
        </w:rPr>
        <w:t xml:space="preserve">：</w:t>
      </w:r>
      <w:r/>
    </w:p>
    <w:tbl>
      <w:tblPr>
        <w:tblStyle w:val="973"/>
        <w:tblpPr w:horzAnchor="page" w:tblpX="1803" w:vertAnchor="text" w:tblpY="679" w:leftFromText="180" w:topFromText="0" w:rightFromText="180" w:bottomFromText="0"/>
        <w:tblW w:w="49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1603"/>
        <w:gridCol w:w="1031"/>
        <w:gridCol w:w="1313"/>
        <w:gridCol w:w="1343"/>
        <w:gridCol w:w="1344"/>
        <w:gridCol w:w="1395"/>
      </w:tblGrid>
      <w:tr>
        <w:trPr>
          <w:trHeight w:val="421"/>
        </w:trPr>
        <w:tc>
          <w:tcPr>
            <w:tcW w:w="591" w:type="pct"/>
            <w:vAlign w:val="center"/>
            <w:textDirection w:val="lrTb"/>
            <w:noWrap w:val="false"/>
          </w:tcPr>
          <w:p>
            <w:pPr>
              <w:jc w:val="center"/>
              <w:rPr>
                <w:rFonts w:hint="eastAsia"/>
                <w:sz w:val="21"/>
                <w:szCs w:val="21"/>
                <w:vertAlign w:val="baseline"/>
                <w:lang w:val="en-US" w:eastAsia="zh-CN"/>
              </w:rPr>
            </w:pPr>
            <w:r>
              <w:rPr>
                <w:rFonts w:hint="eastAsia"/>
                <w:sz w:val="21"/>
                <w:szCs w:val="21"/>
                <w:vertAlign w:val="baseline"/>
                <w:lang w:val="en-US" w:eastAsia="zh-CN"/>
              </w:rPr>
              <w:t xml:space="preserve">序号</w:t>
            </w:r>
            <w:r/>
          </w:p>
        </w:tc>
        <w:tc>
          <w:tcPr>
            <w:tcW w:w="880" w:type="pct"/>
            <w:vAlign w:val="center"/>
            <w:textDirection w:val="lrTb"/>
            <w:noWrap w:val="false"/>
          </w:tcPr>
          <w:p>
            <w:pPr>
              <w:jc w:val="center"/>
              <w:rPr>
                <w:rFonts w:hint="eastAsia"/>
                <w:sz w:val="21"/>
                <w:szCs w:val="21"/>
                <w:vertAlign w:val="baseline"/>
                <w:lang w:val="en-US" w:eastAsia="zh-CN"/>
              </w:rPr>
            </w:pPr>
            <w:r>
              <w:rPr>
                <w:rFonts w:hint="eastAsia"/>
                <w:sz w:val="21"/>
                <w:szCs w:val="21"/>
                <w:vertAlign w:val="baseline"/>
                <w:lang w:val="en-US" w:eastAsia="zh-CN"/>
              </w:rPr>
              <w:t xml:space="preserve">分项名称</w:t>
            </w:r>
            <w:r/>
          </w:p>
        </w:tc>
        <w:tc>
          <w:tcPr>
            <w:tcW w:w="566" w:type="pct"/>
            <w:vAlign w:val="center"/>
            <w:textDirection w:val="lrTb"/>
            <w:noWrap w:val="false"/>
          </w:tcPr>
          <w:p>
            <w:pPr>
              <w:jc w:val="center"/>
              <w:rPr>
                <w:rFonts w:hint="eastAsia"/>
                <w:sz w:val="21"/>
                <w:szCs w:val="21"/>
                <w:vertAlign w:val="baseline"/>
                <w:lang w:val="en-US" w:eastAsia="zh-CN"/>
              </w:rPr>
            </w:pPr>
            <w:r>
              <w:rPr>
                <w:rFonts w:hint="eastAsia"/>
                <w:sz w:val="21"/>
                <w:szCs w:val="21"/>
                <w:vertAlign w:val="baseline"/>
                <w:lang w:val="en-US" w:eastAsia="zh-CN"/>
              </w:rPr>
              <w:t xml:space="preserve">数量</w:t>
            </w:r>
            <w:r/>
          </w:p>
        </w:tc>
        <w:tc>
          <w:tcPr>
            <w:tcW w:w="721" w:type="pct"/>
            <w:vAlign w:val="center"/>
            <w:textDirection w:val="lrTb"/>
            <w:noWrap w:val="false"/>
          </w:tcPr>
          <w:p>
            <w:pPr>
              <w:jc w:val="center"/>
              <w:rPr>
                <w:rFonts w:hint="eastAsia"/>
                <w:sz w:val="21"/>
                <w:szCs w:val="21"/>
                <w:vertAlign w:val="baseline"/>
                <w:lang w:val="en-US" w:eastAsia="zh-CN"/>
              </w:rPr>
            </w:pPr>
            <w:r>
              <w:rPr>
                <w:rFonts w:hint="eastAsia"/>
                <w:sz w:val="21"/>
                <w:szCs w:val="21"/>
                <w:vertAlign w:val="baseline"/>
                <w:lang w:val="en-US" w:eastAsia="zh-CN"/>
              </w:rPr>
              <w:t xml:space="preserve">单位</w:t>
            </w:r>
            <w:r/>
          </w:p>
        </w:tc>
        <w:tc>
          <w:tcPr>
            <w:tcW w:w="737" w:type="pct"/>
            <w:vAlign w:val="center"/>
            <w:textDirection w:val="lrTb"/>
            <w:noWrap w:val="false"/>
          </w:tcPr>
          <w:p>
            <w:pPr>
              <w:jc w:val="center"/>
              <w:rPr>
                <w:rFonts w:hint="eastAsia"/>
                <w:sz w:val="21"/>
                <w:szCs w:val="21"/>
                <w:vertAlign w:val="baseline"/>
                <w:lang w:val="en-US" w:eastAsia="zh-CN"/>
              </w:rPr>
            </w:pPr>
            <w:r>
              <w:rPr>
                <w:rFonts w:hint="eastAsia"/>
                <w:sz w:val="21"/>
                <w:szCs w:val="21"/>
                <w:vertAlign w:val="baseline"/>
                <w:lang w:val="en-US" w:eastAsia="zh-CN"/>
              </w:rPr>
              <w:t xml:space="preserve">单价（元</w:t>
            </w:r>
            <w:r/>
          </w:p>
        </w:tc>
        <w:tc>
          <w:tcPr>
            <w:tcW w:w="738" w:type="pct"/>
            <w:vAlign w:val="center"/>
            <w:textDirection w:val="lrTb"/>
            <w:noWrap w:val="false"/>
          </w:tcPr>
          <w:p>
            <w:pPr>
              <w:jc w:val="center"/>
              <w:rPr>
                <w:rFonts w:hint="eastAsia"/>
                <w:sz w:val="21"/>
                <w:szCs w:val="21"/>
                <w:vertAlign w:val="baseline"/>
                <w:lang w:val="en-US" w:eastAsia="zh-CN"/>
              </w:rPr>
            </w:pPr>
            <w:r>
              <w:rPr>
                <w:rFonts w:hint="eastAsia"/>
                <w:sz w:val="21"/>
                <w:szCs w:val="21"/>
                <w:vertAlign w:val="baseline"/>
                <w:lang w:val="en-US" w:eastAsia="zh-CN"/>
              </w:rPr>
              <w:t xml:space="preserve">合价（元）</w:t>
            </w:r>
            <w:r/>
          </w:p>
        </w:tc>
        <w:tc>
          <w:tcPr>
            <w:tcW w:w="763" w:type="pct"/>
            <w:vAlign w:val="center"/>
            <w:textDirection w:val="lrTb"/>
            <w:noWrap w:val="false"/>
          </w:tcPr>
          <w:p>
            <w:pPr>
              <w:jc w:val="center"/>
              <w:rPr>
                <w:rFonts w:hint="eastAsia"/>
                <w:sz w:val="21"/>
                <w:szCs w:val="21"/>
                <w:vertAlign w:val="baseline"/>
                <w:lang w:val="en-US" w:eastAsia="zh-CN"/>
              </w:rPr>
            </w:pPr>
            <w:r>
              <w:rPr>
                <w:rFonts w:hint="eastAsia"/>
                <w:sz w:val="21"/>
                <w:szCs w:val="21"/>
                <w:vertAlign w:val="baseline"/>
                <w:lang w:val="en-US" w:eastAsia="zh-CN"/>
              </w:rPr>
              <w:t xml:space="preserve">备注</w:t>
            </w:r>
            <w:r/>
          </w:p>
        </w:tc>
      </w:tr>
      <w:tr>
        <w:trPr>
          <w:trHeight w:val="421"/>
        </w:trPr>
        <w:tc>
          <w:tcPr>
            <w:tcW w:w="591" w:type="pct"/>
            <w:vAlign w:val="center"/>
            <w:textDirection w:val="lrTb"/>
            <w:noWrap w:val="false"/>
          </w:tcPr>
          <w:p>
            <w:pPr>
              <w:jc w:val="center"/>
              <w:rPr>
                <w:rFonts w:hint="default"/>
                <w:sz w:val="21"/>
                <w:szCs w:val="21"/>
                <w:vertAlign w:val="baseline"/>
                <w:lang w:val="en-US" w:eastAsia="zh-CN"/>
              </w:rPr>
            </w:pPr>
            <w:r>
              <w:rPr>
                <w:rFonts w:hint="eastAsia"/>
                <w:sz w:val="21"/>
                <w:szCs w:val="21"/>
                <w:vertAlign w:val="baseline"/>
                <w:lang w:val="en-US" w:eastAsia="zh-CN"/>
              </w:rPr>
              <w:t xml:space="preserve">1</w:t>
            </w:r>
            <w:r/>
          </w:p>
        </w:tc>
        <w:tc>
          <w:tcPr>
            <w:tcW w:w="880"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人员工资</w:t>
            </w:r>
            <w:r/>
          </w:p>
        </w:tc>
        <w:tc>
          <w:tcPr>
            <w:tcW w:w="566"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1</w:t>
            </w:r>
            <w:r/>
          </w:p>
        </w:tc>
        <w:tc>
          <w:tcPr>
            <w:tcW w:w="721"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项</w:t>
            </w:r>
            <w:r/>
          </w:p>
        </w:tc>
        <w:tc>
          <w:tcPr>
            <w:tcW w:w="737" w:type="pct"/>
            <w:vAlign w:val="center"/>
            <w:textDirection w:val="lrTb"/>
            <w:noWrap w:val="false"/>
          </w:tcPr>
          <w:p>
            <w:r/>
            <w:r/>
          </w:p>
        </w:tc>
        <w:tc>
          <w:tcPr>
            <w:tcW w:w="738" w:type="pct"/>
            <w:vAlign w:val="center"/>
            <w:textDirection w:val="lrTb"/>
            <w:noWrap w:val="false"/>
          </w:tcPr>
          <w:p>
            <w:r/>
            <w:r/>
          </w:p>
        </w:tc>
        <w:tc>
          <w:tcPr>
            <w:tcW w:w="763"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按实结算</w:t>
            </w:r>
            <w:r/>
          </w:p>
        </w:tc>
      </w:tr>
      <w:tr>
        <w:trPr>
          <w:trHeight w:val="421"/>
        </w:trPr>
        <w:tc>
          <w:tcPr>
            <w:tcW w:w="591" w:type="pct"/>
            <w:vAlign w:val="center"/>
            <w:textDirection w:val="lrTb"/>
            <w:noWrap w:val="false"/>
          </w:tcPr>
          <w:p>
            <w:pPr>
              <w:jc w:val="center"/>
              <w:rPr>
                <w:rFonts w:hint="default"/>
                <w:sz w:val="21"/>
                <w:szCs w:val="21"/>
                <w:vertAlign w:val="baseline"/>
                <w:lang w:val="en-US" w:eastAsia="zh-CN"/>
              </w:rPr>
            </w:pPr>
            <w:r>
              <w:rPr>
                <w:rFonts w:hint="eastAsia"/>
                <w:sz w:val="21"/>
                <w:szCs w:val="21"/>
                <w:vertAlign w:val="baseline"/>
                <w:lang w:val="en-US" w:eastAsia="zh-CN"/>
              </w:rPr>
              <w:t xml:space="preserve">2</w:t>
            </w:r>
            <w:r/>
          </w:p>
        </w:tc>
        <w:tc>
          <w:tcPr>
            <w:tcW w:w="880"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运营管理费用</w:t>
            </w:r>
            <w:r/>
          </w:p>
        </w:tc>
        <w:tc>
          <w:tcPr>
            <w:tcW w:w="566"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1</w:t>
            </w:r>
            <w:r/>
          </w:p>
        </w:tc>
        <w:tc>
          <w:tcPr>
            <w:tcW w:w="721"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项</w:t>
            </w:r>
            <w:r/>
          </w:p>
        </w:tc>
        <w:tc>
          <w:tcPr>
            <w:tcW w:w="737" w:type="pct"/>
            <w:vAlign w:val="center"/>
            <w:textDirection w:val="lrTb"/>
            <w:noWrap w:val="false"/>
          </w:tcPr>
          <w:p>
            <w:r/>
            <w:r/>
          </w:p>
        </w:tc>
        <w:tc>
          <w:tcPr>
            <w:tcW w:w="738" w:type="pct"/>
            <w:vAlign w:val="center"/>
            <w:textDirection w:val="lrTb"/>
            <w:noWrap w:val="false"/>
          </w:tcPr>
          <w:p>
            <w:r/>
            <w:r/>
          </w:p>
        </w:tc>
        <w:tc>
          <w:tcPr>
            <w:tcW w:w="763"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r>
            <w:r/>
          </w:p>
        </w:tc>
      </w:tr>
      <w:tr>
        <w:trPr>
          <w:trHeight w:val="421"/>
        </w:trPr>
        <w:tc>
          <w:tcPr>
            <w:tcW w:w="591" w:type="pct"/>
            <w:vAlign w:val="center"/>
            <w:textDirection w:val="lrTb"/>
            <w:noWrap w:val="false"/>
          </w:tcPr>
          <w:p>
            <w:pPr>
              <w:jc w:val="center"/>
              <w:rPr>
                <w:rFonts w:hint="default"/>
                <w:sz w:val="21"/>
                <w:szCs w:val="21"/>
                <w:vertAlign w:val="baseline"/>
                <w:lang w:val="en-US" w:eastAsia="zh-CN"/>
              </w:rPr>
            </w:pPr>
            <w:r>
              <w:rPr>
                <w:rFonts w:hint="eastAsia"/>
                <w:sz w:val="21"/>
                <w:szCs w:val="21"/>
                <w:vertAlign w:val="baseline"/>
                <w:lang w:val="en-US" w:eastAsia="zh-CN"/>
              </w:rPr>
              <w:t xml:space="preserve">3</w:t>
            </w:r>
            <w:r/>
          </w:p>
        </w:tc>
        <w:tc>
          <w:tcPr>
            <w:tcW w:w="880"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eastAsia" w:cs="Times New Roman"/>
                <w:sz w:val="21"/>
                <w:szCs w:val="21"/>
                <w:vertAlign w:val="baseline"/>
                <w:lang w:val="en-US" w:eastAsia="zh-CN"/>
              </w:rPr>
              <w:t xml:space="preserve">税金</w:t>
            </w:r>
            <w:bookmarkStart w:id="715" w:name="_GoBack"/>
            <w:r/>
            <w:bookmarkEnd w:id="715"/>
            <w:r/>
            <w:r/>
          </w:p>
        </w:tc>
        <w:tc>
          <w:tcPr>
            <w:tcW w:w="566"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r>
            <w:r/>
          </w:p>
        </w:tc>
        <w:tc>
          <w:tcPr>
            <w:tcW w:w="721"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r>
            <w:r/>
          </w:p>
        </w:tc>
        <w:tc>
          <w:tcPr>
            <w:tcW w:w="737"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r>
            <w:r/>
          </w:p>
        </w:tc>
        <w:tc>
          <w:tcPr>
            <w:tcW w:w="738"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r>
            <w:r/>
          </w:p>
        </w:tc>
        <w:tc>
          <w:tcPr>
            <w:tcW w:w="763"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r>
            <w:r/>
          </w:p>
        </w:tc>
      </w:tr>
      <w:tr>
        <w:trPr>
          <w:trHeight w:val="434"/>
        </w:trPr>
        <w:tc>
          <w:tcPr>
            <w:gridSpan w:val="2"/>
            <w:tcW w:w="1471" w:type="pct"/>
            <w:vAlign w:val="center"/>
            <w:textDirection w:val="lrTb"/>
            <w:noWrap w:val="false"/>
          </w:tcPr>
          <w:p>
            <w:pPr>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 xml:space="preserve">总价</w:t>
            </w:r>
            <w:r/>
          </w:p>
        </w:tc>
        <w:tc>
          <w:tcPr>
            <w:gridSpan w:val="5"/>
            <w:tcW w:w="3528" w:type="pct"/>
            <w:vAlign w:val="center"/>
            <w:textDirection w:val="lrTb"/>
            <w:noWrap w:val="false"/>
          </w:tcPr>
          <w:p>
            <w:pPr>
              <w:jc w:val="center"/>
              <w:tabs>
                <w:tab w:val="left" w:pos="2020" w:leader="none"/>
              </w:tabs>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r>
            <w:r/>
          </w:p>
        </w:tc>
      </w:tr>
    </w:tbl>
    <w:p>
      <w:pPr>
        <w:ind w:left="0"/>
        <w:keepLines w:val="0"/>
        <w:keepNext w:val="0"/>
        <w:pageBreakBefore w:val="0"/>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r>
      <w:r/>
    </w:p>
    <w:p>
      <w:pPr>
        <w:ind w:left="0"/>
        <w:keepLines w:val="0"/>
        <w:keepNext w:val="0"/>
        <w:pageBreakBefore w:val="0"/>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r>
      <w:r/>
    </w:p>
    <w:tbl>
      <w:tblPr>
        <w:tblStyle w:val="987"/>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4"/>
        <w:gridCol w:w="1586"/>
        <w:gridCol w:w="1289"/>
        <w:gridCol w:w="1525"/>
        <w:gridCol w:w="1924"/>
        <w:gridCol w:w="2055"/>
      </w:tblGrid>
      <w:tr>
        <w:trPr>
          <w:trHeight w:val="478"/>
        </w:trPr>
        <w:tc>
          <w:tcPr>
            <w:tcW w:w="38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序号</w:t>
            </w:r>
            <w:r/>
          </w:p>
        </w:tc>
        <w:tc>
          <w:tcPr>
            <w:tcW w:w="87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16"/>
                <w:sz w:val="24"/>
                <w:szCs w:val="24"/>
              </w:rPr>
              <w:t xml:space="preserve">岗</w:t>
            </w:r>
            <w:r>
              <w:rPr>
                <w:rFonts w:hint="eastAsia" w:ascii="宋体" w:hAnsi="宋体" w:eastAsia="宋体" w:cs="宋体"/>
                <w:spacing w:val="-15"/>
                <w:sz w:val="24"/>
                <w:szCs w:val="24"/>
              </w:rPr>
              <w:t xml:space="preserve">位</w:t>
            </w:r>
            <w:r/>
          </w:p>
        </w:tc>
        <w:tc>
          <w:tcPr>
            <w:tcW w:w="71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人</w:t>
            </w:r>
            <w:r>
              <w:rPr>
                <w:rFonts w:hint="eastAsia" w:ascii="宋体" w:hAnsi="宋体" w:eastAsia="宋体" w:cs="宋体"/>
                <w:spacing w:val="-1"/>
                <w:sz w:val="24"/>
                <w:szCs w:val="24"/>
              </w:rPr>
              <w:t xml:space="preserve">数 (个)</w:t>
            </w:r>
            <w:r/>
          </w:p>
        </w:tc>
        <w:tc>
          <w:tcPr>
            <w:tcW w:w="84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月薪 (元</w:t>
            </w:r>
            <w:r>
              <w:rPr>
                <w:rFonts w:hint="eastAsia" w:ascii="宋体" w:hAnsi="宋体" w:eastAsia="宋体" w:cs="宋体"/>
                <w:spacing w:val="-1"/>
                <w:sz w:val="24"/>
                <w:szCs w:val="24"/>
              </w:rPr>
              <w:t xml:space="preserve">)</w:t>
            </w:r>
            <w:r/>
          </w:p>
        </w:tc>
        <w:tc>
          <w:tcPr>
            <w:tcW w:w="1059"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服务</w:t>
            </w:r>
            <w:r>
              <w:rPr>
                <w:rFonts w:hint="eastAsia" w:ascii="宋体" w:hAnsi="宋体" w:eastAsia="宋体" w:cs="宋体"/>
                <w:spacing w:val="-1"/>
                <w:sz w:val="24"/>
                <w:szCs w:val="24"/>
              </w:rPr>
              <w:t xml:space="preserve">期限</w:t>
            </w:r>
            <w:r/>
          </w:p>
        </w:tc>
        <w:tc>
          <w:tcPr>
            <w:tcW w:w="113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合计金额 </w:t>
            </w:r>
            <w:r>
              <w:rPr>
                <w:rFonts w:hint="eastAsia" w:ascii="宋体" w:hAnsi="宋体" w:eastAsia="宋体" w:cs="宋体"/>
                <w:sz w:val="24"/>
                <w:szCs w:val="24"/>
              </w:rPr>
              <w:t xml:space="preserve">(元)</w:t>
            </w:r>
            <w:r/>
          </w:p>
        </w:tc>
      </w:tr>
      <w:tr>
        <w:trPr>
          <w:trHeight w:val="474"/>
        </w:trPr>
        <w:tc>
          <w:tcPr>
            <w:tcW w:w="38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1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4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59"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4"/>
        </w:trPr>
        <w:tc>
          <w:tcPr>
            <w:tcW w:w="38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1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4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59"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3"/>
        </w:trPr>
        <w:tc>
          <w:tcPr>
            <w:tcW w:w="38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1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4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59"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4"/>
        </w:trPr>
        <w:tc>
          <w:tcPr>
            <w:tcW w:w="38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2"/>
                <w:sz w:val="24"/>
                <w:szCs w:val="24"/>
              </w:rPr>
              <w:t xml:space="preserve">…</w:t>
            </w:r>
            <w:r/>
          </w:p>
        </w:tc>
        <w:tc>
          <w:tcPr>
            <w:tcW w:w="873"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1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4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59"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4"/>
        </w:trPr>
        <w:tc>
          <w:tcPr>
            <w:gridSpan w:val="2"/>
            <w:tcW w:w="1257"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税金</w:t>
            </w:r>
            <w:r/>
          </w:p>
        </w:tc>
        <w:tc>
          <w:tcPr>
            <w:gridSpan w:val="3"/>
            <w:tcW w:w="261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3"/>
        </w:trPr>
        <w:tc>
          <w:tcPr>
            <w:gridSpan w:val="2"/>
            <w:tcW w:w="1257"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position w:val="2"/>
                <w:sz w:val="24"/>
                <w:szCs w:val="24"/>
                <w:lang w:eastAsia="zh-CN"/>
              </w:rPr>
              <w:t xml:space="preserve">管理费</w:t>
            </w:r>
            <w:r/>
          </w:p>
        </w:tc>
        <w:tc>
          <w:tcPr>
            <w:gridSpan w:val="3"/>
            <w:tcW w:w="2610"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78"/>
        </w:trPr>
        <w:tc>
          <w:tcPr>
            <w:gridSpan w:val="2"/>
            <w:tcW w:w="1257"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6"/>
                <w:sz w:val="24"/>
                <w:szCs w:val="24"/>
              </w:rPr>
              <w:t xml:space="preserve">总</w:t>
            </w:r>
            <w:r>
              <w:rPr>
                <w:rFonts w:hint="eastAsia" w:ascii="宋体" w:hAnsi="宋体" w:eastAsia="宋体" w:cs="宋体"/>
                <w:spacing w:val="-4"/>
                <w:sz w:val="24"/>
                <w:szCs w:val="24"/>
              </w:rPr>
              <w:t xml:space="preserve">计</w:t>
            </w:r>
            <w:r/>
          </w:p>
        </w:tc>
        <w:tc>
          <w:tcPr>
            <w:gridSpan w:val="4"/>
            <w:tcW w:w="3742"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left="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pacing w:val="9"/>
          <w:position w:val="1"/>
          <w:sz w:val="24"/>
          <w:szCs w:val="24"/>
        </w:rPr>
        <w:t xml:space="preserve">二、组成本合同的有关文</w:t>
      </w:r>
      <w:r>
        <w:rPr>
          <w:rFonts w:hint="eastAsia" w:ascii="宋体" w:hAnsi="宋体" w:eastAsia="宋体" w:cs="宋体"/>
          <w:b/>
          <w:bCs/>
          <w:spacing w:val="7"/>
          <w:position w:val="1"/>
          <w:sz w:val="24"/>
          <w:szCs w:val="24"/>
        </w:rPr>
        <w:t xml:space="preserve">件</w:t>
      </w:r>
      <w:r/>
    </w:p>
    <w:p>
      <w:pPr>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下列文件为本合同的有效组成部分，对甲乙双方均具有法律约束力。如果下列文件内容出现不一致的情形，那么在保证按照采购文件确定事项的前提下，组成本合同的多个文件的优先适用顺序如下：</w:t>
      </w:r>
      <w:r/>
    </w:p>
    <w:p>
      <w:pPr>
        <w:ind w:left="0" w:firstLine="53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4"/>
          <w:position w:val="1"/>
          <w:sz w:val="24"/>
          <w:szCs w:val="24"/>
        </w:rPr>
        <w:t xml:space="preserve">1</w:t>
      </w:r>
      <w:r>
        <w:rPr>
          <w:rFonts w:hint="eastAsia" w:ascii="宋体" w:hAnsi="宋体" w:eastAsia="宋体" w:cs="宋体"/>
          <w:spacing w:val="8"/>
          <w:position w:val="1"/>
          <w:sz w:val="24"/>
          <w:szCs w:val="24"/>
        </w:rPr>
        <w:t xml:space="preserve">、</w:t>
      </w:r>
      <w:r>
        <w:rPr>
          <w:rFonts w:hint="eastAsia" w:ascii="宋体" w:hAnsi="宋体" w:eastAsia="宋体" w:cs="宋体"/>
          <w:spacing w:val="7"/>
          <w:position w:val="1"/>
          <w:sz w:val="24"/>
          <w:szCs w:val="24"/>
        </w:rPr>
        <w:t xml:space="preserve">本合同及其补充合同、变更协议；</w:t>
      </w:r>
      <w:r/>
    </w:p>
    <w:p>
      <w:pPr>
        <w:ind w:left="0" w:firstLine="52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2</w:t>
      </w:r>
      <w:r>
        <w:rPr>
          <w:rFonts w:hint="eastAsia" w:ascii="宋体" w:hAnsi="宋体" w:eastAsia="宋体" w:cs="宋体"/>
          <w:spacing w:val="8"/>
          <w:sz w:val="24"/>
          <w:szCs w:val="24"/>
        </w:rPr>
        <w:t xml:space="preserve">、</w:t>
      </w:r>
      <w:r>
        <w:rPr>
          <w:rFonts w:hint="eastAsia" w:ascii="宋体" w:hAnsi="宋体" w:eastAsia="宋体" w:cs="宋体"/>
          <w:spacing w:val="6"/>
          <w:sz w:val="24"/>
          <w:szCs w:val="24"/>
        </w:rPr>
        <w:t xml:space="preserve">中标 (成交) 通知书；</w:t>
      </w:r>
      <w:r/>
    </w:p>
    <w:p>
      <w:pPr>
        <w:ind w:left="0" w:firstLine="52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3、投</w:t>
      </w:r>
      <w:r>
        <w:rPr>
          <w:rFonts w:hint="eastAsia" w:ascii="宋体" w:hAnsi="宋体" w:eastAsia="宋体" w:cs="宋体"/>
          <w:spacing w:val="7"/>
          <w:sz w:val="24"/>
          <w:szCs w:val="24"/>
        </w:rPr>
        <w:t xml:space="preserve">标</w:t>
      </w:r>
      <w:r>
        <w:rPr>
          <w:rFonts w:hint="eastAsia" w:ascii="宋体" w:hAnsi="宋体" w:eastAsia="宋体" w:cs="宋体"/>
          <w:spacing w:val="6"/>
          <w:sz w:val="24"/>
          <w:szCs w:val="24"/>
        </w:rPr>
        <w:t xml:space="preserve"> (响应) 文件 (含澄清或者说明文件)；</w:t>
      </w:r>
      <w:r/>
    </w:p>
    <w:p>
      <w:pPr>
        <w:ind w:left="0" w:firstLine="516"/>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pacing w:val="9"/>
          <w:sz w:val="24"/>
          <w:szCs w:val="24"/>
        </w:rPr>
        <w:t xml:space="preserve">4</w:t>
      </w:r>
      <w:r>
        <w:rPr>
          <w:rFonts w:hint="eastAsia" w:ascii="宋体" w:hAnsi="宋体" w:eastAsia="宋体" w:cs="宋体"/>
          <w:spacing w:val="7"/>
          <w:sz w:val="24"/>
          <w:szCs w:val="24"/>
        </w:rPr>
        <w:t xml:space="preserve">、磋商文件 (含澄清或者修改文件)</w:t>
      </w:r>
      <w:r>
        <w:rPr>
          <w:rFonts w:hint="eastAsia" w:ascii="宋体" w:hAnsi="宋体" w:eastAsia="宋体" w:cs="宋体"/>
          <w:spacing w:val="7"/>
          <w:sz w:val="24"/>
          <w:szCs w:val="24"/>
          <w:lang w:eastAsia="zh-CN"/>
        </w:rPr>
        <w:t xml:space="preserve">。</w:t>
      </w:r>
      <w:r/>
    </w:p>
    <w:p>
      <w:pPr>
        <w:ind w:left="0"/>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pacing w:val="10"/>
          <w:position w:val="1"/>
          <w:sz w:val="24"/>
          <w:szCs w:val="24"/>
        </w:rPr>
        <w:t xml:space="preserve">三</w:t>
      </w:r>
      <w:r>
        <w:rPr>
          <w:rFonts w:hint="eastAsia" w:ascii="宋体" w:hAnsi="宋体" w:eastAsia="宋体" w:cs="宋体"/>
          <w:b/>
          <w:bCs/>
          <w:spacing w:val="8"/>
          <w:position w:val="1"/>
          <w:sz w:val="24"/>
          <w:szCs w:val="24"/>
        </w:rPr>
        <w:t xml:space="preserve">、结算方式</w:t>
      </w:r>
      <w:r/>
    </w:p>
    <w:p>
      <w:pPr>
        <w:ind w:left="0" w:firstLine="488"/>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rPr>
        <w:t xml:space="preserve">1、费用支付方式为：</w:t>
      </w:r>
      <w:r/>
    </w:p>
    <w:p>
      <w:pPr>
        <w:ind w:left="0" w:firstLine="524"/>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pacing w:val="11"/>
          <w:sz w:val="24"/>
          <w:szCs w:val="24"/>
        </w:rPr>
        <w:t xml:space="preserve">2</w:t>
      </w:r>
      <w:r>
        <w:rPr>
          <w:rFonts w:hint="eastAsia" w:ascii="宋体" w:hAnsi="宋体" w:eastAsia="宋体" w:cs="宋体"/>
          <w:spacing w:val="8"/>
          <w:sz w:val="24"/>
          <w:szCs w:val="24"/>
        </w:rPr>
        <w:t xml:space="preserve">、如因其他实际需求，乙方实际增加服务人员和开支，甲方予以据实结算，给予乙方补贴，此项补贴不在上述服务费范围之内。以上付款采用银行转帐方式，付款同时，开具普通增值税等额发票。</w:t>
      </w:r>
      <w:r/>
    </w:p>
    <w:p>
      <w:pPr>
        <w:ind w:left="0"/>
        <w:keepLines w:val="0"/>
        <w:keepNext w:val="0"/>
        <w:pageBreakBefore w:val="0"/>
        <w:spacing w:line="360" w:lineRule="auto"/>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四、服务内容与要求</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1.食堂提供一日三餐，另外有公务接待时，要做好公务接待。</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2.提前一周将下周菜单交予采购人确认；</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3.提前一天预定隔天的菜肴，品种多样，新鲜，生熟分类，确保食品安全；</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4.定点采购，所有菜品都有索证，可追源头，专人对菜肴进行核对，验收，复称；做好食品留样；</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5.无特殊情况，准时开餐，平等待人，饭菜定量；</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6.食堂时刻保持清洁卫生，每餐后必须对食堂的餐椅、地面等进行擦洗并每周消毒2次，餐具清洗后做好消毒工作；</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7.所有员工每日检查个人卫生、工作期间必须穿戴工作服、帽子、戴好口罩，做到勤洗手、勤剪指甲、勤换工作服；</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8.做好安全工作，使用炊事用电器和燃气要严格遵守操作规程，防止事故发生；下班前检查各类电源开关，关好食堂门窗；</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9.保障好所有值班人员的用餐；</w:t>
      </w:r>
      <w:r/>
    </w:p>
    <w:p>
      <w:pPr>
        <w:numPr>
          <w:ilvl w:val="0"/>
          <w:numId w:val="0"/>
        </w:numPr>
        <w:ind w:firstLine="480"/>
        <w:jc w:val="both"/>
        <w:keepLines w:val="0"/>
        <w:keepNext w:val="0"/>
        <w:pageBreakBefore w:val="0"/>
        <w:spacing w:line="360" w:lineRule="auto"/>
        <w:rPr>
          <w:rFonts w:hint="eastAsia" w:ascii="宋体" w:hAnsi="宋体" w:eastAsia="宋体" w:cs="宋体"/>
          <w:b w:val="0"/>
          <w:bCs/>
          <w:color w:val="auto"/>
          <w:sz w:val="24"/>
          <w:szCs w:val="24"/>
          <w:lang w:val="en-US" w:eastAsia="zh-CN" w:bidi="ar-SA"/>
        </w:rPr>
      </w:pPr>
      <w:r>
        <w:rPr>
          <w:rFonts w:hint="eastAsia" w:ascii="宋体" w:hAnsi="宋体" w:eastAsia="宋体" w:cs="宋体"/>
          <w:color w:val="000000"/>
          <w:sz w:val="24"/>
          <w:szCs w:val="24"/>
          <w:lang w:val="en-US" w:eastAsia="zh-CN"/>
        </w:rPr>
        <w:t xml:space="preserve">10.积极与采购人沟通，虚心听取用餐人员的意见和要求，不断提高菜品质量</w:t>
      </w:r>
      <w:r>
        <w:rPr>
          <w:rFonts w:hint="eastAsia" w:ascii="宋体" w:hAnsi="宋体" w:eastAsia="宋体" w:cs="宋体"/>
          <w:b w:val="0"/>
          <w:bCs/>
          <w:color w:val="auto"/>
          <w:sz w:val="24"/>
          <w:szCs w:val="24"/>
          <w:lang w:val="en-US" w:eastAsia="zh-CN" w:bidi="ar-SA"/>
        </w:rPr>
        <w:t xml:space="preserve">。</w:t>
      </w:r>
      <w:r/>
    </w:p>
    <w:p>
      <w:pPr>
        <w:numPr>
          <w:ilvl w:val="0"/>
          <w:numId w:val="0"/>
        </w:numPr>
        <w:jc w:val="both"/>
        <w:keepLines w:val="0"/>
        <w:keepNext w:val="0"/>
        <w:pageBreakBefore w:val="0"/>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五、甲方责任</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1、提供食堂全部设备的维修保养。</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2、甲方无偿提供厨房所用的燃料、水、电。</w:t>
      </w:r>
      <w:r/>
    </w:p>
    <w:p>
      <w:pPr>
        <w:pStyle w:val="986"/>
        <w:numPr>
          <w:ilvl w:val="0"/>
          <w:numId w:val="0"/>
        </w:numPr>
        <w:ind w:left="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 xml:space="preserve">六、甲方权利</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1、甲方有权对乙方进行行政管理，如：卫生、安全、治安、消防、监督等，特别要禁止食物中毒事故发生，一旦发生类似事故，甲方有权追究责任。</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lang w:val="en-US" w:eastAsia="zh-CN"/>
        </w:rPr>
        <w:t xml:space="preserve">2、甲方有权对饭菜质量数量、卫生服务等情况进行监督检查，如乙方未达到甲方用餐人员对饭菜质量要求满意度的80%以上，甲方有权要求乙方改进</w:t>
      </w:r>
      <w:r>
        <w:rPr>
          <w:rFonts w:hint="eastAsia" w:ascii="宋体" w:hAnsi="宋体" w:eastAsia="宋体" w:cs="宋体"/>
          <w:b w:val="0"/>
          <w:bCs/>
          <w:color w:val="auto"/>
          <w:sz w:val="24"/>
          <w:szCs w:val="24"/>
          <w:highlight w:val="none"/>
          <w:lang w:val="en-US" w:eastAsia="zh-CN"/>
        </w:rPr>
        <w:t xml:space="preserve">。</w:t>
      </w:r>
      <w:r/>
    </w:p>
    <w:p>
      <w:pPr>
        <w:ind w:firstLine="480"/>
        <w:rPr>
          <w:rFonts w:hint="default"/>
          <w:lang w:val="en-US" w:eastAsia="zh-CN"/>
        </w:rPr>
      </w:pPr>
      <w:r>
        <w:rPr>
          <w:rFonts w:hint="eastAsia" w:ascii="宋体" w:hAnsi="宋体" w:cs="宋体"/>
          <w:b w:val="0"/>
          <w:bCs/>
          <w:color w:val="auto"/>
          <w:sz w:val="24"/>
          <w:szCs w:val="24"/>
          <w:highlight w:val="none"/>
          <w:lang w:val="en-US" w:eastAsia="zh-CN"/>
        </w:rPr>
        <w:t xml:space="preserve">3、乙方如果没有按照甲方要求做好服务的，甲方有权终止合同。</w:t>
      </w:r>
      <w:r/>
    </w:p>
    <w:p>
      <w:pPr>
        <w:pStyle w:val="986"/>
        <w:numPr>
          <w:ilvl w:val="0"/>
          <w:numId w:val="0"/>
        </w:numPr>
        <w:ind w:left="0"/>
        <w:keepLines w:val="0"/>
        <w:keepNext w:val="0"/>
        <w:pageBreakBefore w:val="0"/>
        <w:spacing w:line="360" w:lineRule="auto"/>
        <w:widowControl/>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七、乙方责任</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1、按甲方消防要求、制度要求、治安要求做好食堂各项工作，消防设施 (如灭火器材) 由甲方提供。</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2、食堂工作人员按卫生部门规定进行身体检查。</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3、经营场所进行定期防鼠灭蝇，设备费用由甲方提供。</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4、严格执行各项食堂管理制度，严格按食堂操作规程及卫生管理制度实施。</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5、乙方工作人员必须统一工作服装，所有人员需按时参加每日考勤，人员变动需经甲方同意。</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6、乙方必须按甲方规定时间休息，准时开餐，开餐时间由甲方规定，如有变动应事先通知乙方。</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7、乙方工作人员必须遵守甲方规章制度，不得随意出入甲方办公地点及其它禁止区域。</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8、 甲方厨房现有之设备及餐具乙方应合理使用，妥善保管严格管理，不得人为损 坏和丢失，否则折价赔偿。如属于合理损耗，甲方应当及时配备。</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9、乙方工作人员的劳资，劳保费用均由乙方自理。人员需按时上下班并每日考勤，人员变动需经甲方同意。</w:t>
      </w:r>
      <w:r/>
    </w:p>
    <w:p>
      <w:pPr>
        <w:pStyle w:val="986"/>
        <w:numPr>
          <w:ilvl w:val="0"/>
          <w:numId w:val="0"/>
        </w:numPr>
        <w:ind w:left="0"/>
        <w:keepLines w:val="0"/>
        <w:keepNext w:val="0"/>
        <w:pageBreakBefore w:val="0"/>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八、乙方权利：</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在确保每人每份餐标的前提下，合理适时确定每周菜单。</w:t>
      </w:r>
      <w:r/>
    </w:p>
    <w:p>
      <w:pPr>
        <w:pStyle w:val="986"/>
        <w:numPr>
          <w:ilvl w:val="0"/>
          <w:numId w:val="0"/>
        </w:numPr>
        <w:keepLines w:val="0"/>
        <w:keepNext w:val="0"/>
        <w:pageBreakBefore w:val="0"/>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color w:val="000000"/>
          <w:sz w:val="24"/>
          <w:szCs w:val="24"/>
          <w:lang w:val="en-US" w:eastAsia="zh-CN" w:bidi="ar"/>
        </w:rPr>
        <w:t xml:space="preserve">九、</w:t>
      </w:r>
      <w:r>
        <w:rPr>
          <w:rFonts w:hint="eastAsia" w:ascii="宋体" w:hAnsi="宋体" w:eastAsia="宋体" w:cs="宋体"/>
          <w:b/>
          <w:bCs w:val="0"/>
          <w:color w:val="auto"/>
          <w:sz w:val="24"/>
          <w:szCs w:val="24"/>
          <w:lang w:val="en-US" w:eastAsia="zh-CN"/>
        </w:rPr>
        <w:t xml:space="preserve">其他</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1、因不可抗力原因造成食堂财物损失时，乙方不承担甲方房产和设施的经济损失。</w:t>
      </w:r>
      <w:r/>
    </w:p>
    <w:p>
      <w:pPr>
        <w:pStyle w:val="986"/>
        <w:numPr>
          <w:ilvl w:val="0"/>
          <w:numId w:val="0"/>
        </w:numPr>
        <w:ind w:left="0"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2、合同未尽事项，双方另行协商。</w:t>
      </w:r>
      <w:r/>
    </w:p>
    <w:p>
      <w:pPr>
        <w:pStyle w:val="986"/>
        <w:numPr>
          <w:ilvl w:val="0"/>
          <w:numId w:val="0"/>
        </w:numPr>
        <w:ind w:left="0"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val="0"/>
          <w:bCs/>
          <w:color w:val="auto"/>
          <w:sz w:val="24"/>
          <w:szCs w:val="24"/>
          <w:lang w:val="en-US" w:eastAsia="zh-CN"/>
        </w:rPr>
        <w:t xml:space="preserve">3、本合同一式五份， 甲方二份、乙方二份、代理机构一份，具有同等法律效力， 本合同签字盖章后生效。双方签订的其它附件、补充协议与本合同具有同等法律效力。</w:t>
      </w:r>
      <w:r/>
    </w:p>
    <w:p>
      <w:pPr>
        <w:spacing w:line="360" w:lineRule="auto"/>
        <w:rPr>
          <w:rFonts w:hint="eastAsia" w:ascii="宋体" w:hAnsi="宋体" w:cs="宋体"/>
          <w:sz w:val="24"/>
        </w:rPr>
      </w:pPr>
      <w:r>
        <w:rPr>
          <w:rFonts w:hint="eastAsia" w:ascii="宋体" w:hAnsi="宋体" w:cs="宋体"/>
          <w:sz w:val="24"/>
        </w:rPr>
      </w:r>
      <w:bookmarkEnd w:id="643"/>
      <w:r/>
      <w:bookmarkEnd w:id="644"/>
      <w:r/>
      <w:r/>
    </w:p>
    <w:tbl>
      <w:tblPr>
        <w:tblStyle w:val="964"/>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4607"/>
        <w:gridCol w:w="4338"/>
      </w:tblGrid>
      <w:tr>
        <w:trPr>
          <w:trHeight w:val="454"/>
        </w:trPr>
        <w:tc>
          <w:tcPr>
            <w:tcW w:w="4607"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甲方（盖章）：</w:t>
            </w:r>
            <w:r/>
          </w:p>
        </w:tc>
        <w:tc>
          <w:tcPr>
            <w:tcW w:w="4338"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乙方（盖章）：</w:t>
            </w:r>
            <w:r/>
          </w:p>
        </w:tc>
      </w:tr>
      <w:tr>
        <w:trPr>
          <w:trHeight w:val="454"/>
        </w:trPr>
        <w:tc>
          <w:tcPr>
            <w:tcW w:w="4607"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法定（授权）代表人：</w:t>
            </w:r>
            <w:r/>
          </w:p>
        </w:tc>
        <w:tc>
          <w:tcPr>
            <w:tcW w:w="4338"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法定（授权）代表人：</w:t>
            </w:r>
            <w:r/>
          </w:p>
        </w:tc>
      </w:tr>
      <w:tr>
        <w:trPr>
          <w:trHeight w:val="454"/>
        </w:trPr>
        <w:tc>
          <w:tcPr>
            <w:tcW w:w="4607"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p>
        </w:tc>
        <w:tc>
          <w:tcPr>
            <w:tcW w:w="4338"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w:t>
            </w:r>
            <w:r/>
          </w:p>
        </w:tc>
      </w:tr>
      <w:tr>
        <w:trPr>
          <w:trHeight w:val="454"/>
        </w:trPr>
        <w:tc>
          <w:tcPr>
            <w:tcW w:w="4607"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地址：</w:t>
            </w:r>
            <w:r/>
          </w:p>
        </w:tc>
        <w:tc>
          <w:tcPr>
            <w:tcW w:w="4338"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地址：</w:t>
            </w:r>
            <w:r/>
          </w:p>
        </w:tc>
      </w:tr>
      <w:tr>
        <w:trPr>
          <w:trHeight w:val="454"/>
        </w:trPr>
        <w:tc>
          <w:tcPr>
            <w:tcW w:w="4607"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联系电话：</w:t>
            </w:r>
            <w:r/>
          </w:p>
        </w:tc>
        <w:tc>
          <w:tcPr>
            <w:tcW w:w="4338"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联系电话：</w:t>
            </w:r>
            <w:r/>
          </w:p>
        </w:tc>
      </w:tr>
      <w:tr>
        <w:trPr>
          <w:trHeight w:val="454"/>
        </w:trPr>
        <w:tc>
          <w:tcPr>
            <w:tcW w:w="4607"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338"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开户行：</w:t>
            </w:r>
            <w:r/>
          </w:p>
        </w:tc>
      </w:tr>
      <w:tr>
        <w:trPr>
          <w:trHeight w:val="454"/>
        </w:trPr>
        <w:tc>
          <w:tcPr>
            <w:tcW w:w="4607"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338" w:type="dxa"/>
            <w:vAlign w:val="top"/>
            <w:textDirection w:val="lrTb"/>
            <w:noWrap w:val="false"/>
          </w:tcPr>
          <w:p>
            <w:pPr>
              <w:spacing w:line="360" w:lineRule="auto"/>
              <w:rPr>
                <w:rFonts w:hint="eastAsia" w:ascii="宋体" w:hAnsi="宋体" w:cs="宋体"/>
                <w:sz w:val="24"/>
              </w:rPr>
            </w:pPr>
            <w:r>
              <w:rPr>
                <w:rFonts w:hint="eastAsia" w:ascii="宋体" w:hAnsi="宋体" w:cs="宋体"/>
                <w:sz w:val="24"/>
              </w:rPr>
              <w:t xml:space="preserve">账号：</w:t>
            </w:r>
            <w:r/>
          </w:p>
        </w:tc>
      </w:tr>
    </w:tbl>
    <w:p>
      <w:pP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360" w:lineRule="auto"/>
        <w:rPr>
          <w:b/>
          <w:sz w:val="36"/>
          <w:szCs w:val="36"/>
          <w:highlight w:val="none"/>
        </w:rPr>
        <w:outlineLvl w:val="0"/>
      </w:pPr>
      <w:r>
        <w:rPr>
          <w:b/>
          <w:sz w:val="36"/>
          <w:szCs w:val="36"/>
          <w:highlight w:val="none"/>
        </w:rPr>
        <w:t xml:space="preserve">第六章   响应文件格式</w:t>
      </w:r>
      <w:bookmarkEnd w:id="639"/>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color w:val="auto"/>
          <w:sz w:val="24"/>
          <w:highlight w:val="none"/>
        </w:rPr>
        <w:t xml:space="preserve">4、实行电子化不见面交易方式的，加盖公章、签名等均通过响应文件编制工具加盖电子公章、签字、签章或印鉴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spacing w:line="360" w:lineRule="auto"/>
        <w:widowControl/>
        <w:rPr>
          <w:sz w:val="24"/>
          <w:highlight w:val="none"/>
        </w:rPr>
      </w:pPr>
      <w:r>
        <w:rPr>
          <w:sz w:val="24"/>
          <w:highlight w:val="none"/>
        </w:rPr>
        <w:br w:type="page" w:clear="all"/>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spacing w:line="360" w:lineRule="auto"/>
        <w:rPr>
          <w:b/>
          <w:spacing w:val="20"/>
          <w:szCs w:val="21"/>
          <w:highlight w:val="none"/>
        </w:rPr>
      </w:pPr>
      <w:r>
        <w:rPr>
          <w:b/>
          <w:spacing w:val="20"/>
          <w:szCs w:val="21"/>
          <w:highlight w:val="none"/>
        </w:rPr>
      </w:r>
      <w:r/>
    </w:p>
    <w:p>
      <w:pPr>
        <w:spacing w:line="360" w:lineRule="auto"/>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spacing w:line="360" w:lineRule="auto"/>
        <w:rPr>
          <w:color w:val="auto"/>
          <w:szCs w:val="21"/>
          <w:highlight w:val="none"/>
        </w:rPr>
      </w:pPr>
      <w:r>
        <w:rPr>
          <w:color w:val="auto"/>
          <w:szCs w:val="21"/>
          <w:highlight w:val="none"/>
        </w:rPr>
      </w:r>
      <w:r/>
    </w:p>
    <w:p>
      <w:pPr>
        <w:jc w:val="center"/>
        <w:spacing w:line="360" w:lineRule="auto"/>
        <w:rPr>
          <w:b/>
          <w:color w:val="auto"/>
          <w:spacing w:val="60"/>
          <w:sz w:val="84"/>
          <w:szCs w:val="84"/>
          <w:highlight w:val="none"/>
        </w:rPr>
      </w:pPr>
      <w:r>
        <w:rPr>
          <w:b/>
          <w:color w:val="auto"/>
          <w:spacing w:val="60"/>
          <w:sz w:val="84"/>
          <w:szCs w:val="84"/>
          <w:highlight w:val="none"/>
        </w:rPr>
        <w:t xml:space="preserve">响 应 文 件</w:t>
      </w:r>
      <w:r/>
    </w:p>
    <w:p>
      <w:pPr>
        <w:jc w:val="center"/>
        <w:spacing w:line="360" w:lineRule="auto"/>
        <w:rPr>
          <w:b/>
          <w:color w:val="auto"/>
          <w:spacing w:val="60"/>
          <w:sz w:val="52"/>
          <w:szCs w:val="52"/>
          <w:highlight w:val="none"/>
        </w:rPr>
      </w:pPr>
      <w:r>
        <w:rPr>
          <w:b/>
          <w:color w:val="auto"/>
          <w:spacing w:val="60"/>
          <w:sz w:val="52"/>
          <w:szCs w:val="52"/>
          <w:highlight w:val="none"/>
        </w:rPr>
      </w:r>
      <w:r/>
    </w:p>
    <w:p>
      <w:pPr>
        <w:ind w:firstLine="542"/>
        <w:spacing w:line="360" w:lineRule="auto"/>
        <w:rPr>
          <w:b/>
          <w:color w:val="auto"/>
          <w:spacing w:val="20"/>
          <w:sz w:val="32"/>
          <w:szCs w:val="32"/>
          <w:highlight w:val="none"/>
        </w:rPr>
      </w:pPr>
      <w:r>
        <w:rPr>
          <w:b/>
          <w:color w:val="auto"/>
          <w:spacing w:val="20"/>
          <w:sz w:val="32"/>
          <w:szCs w:val="32"/>
          <w:highlight w:val="none"/>
        </w:rPr>
      </w:r>
      <w:r/>
    </w:p>
    <w:p>
      <w:pPr>
        <w:ind w:firstLine="542"/>
        <w:spacing w:line="360" w:lineRule="auto"/>
        <w:rPr>
          <w:b/>
          <w:color w:val="auto"/>
          <w:spacing w:val="20"/>
          <w:sz w:val="32"/>
          <w:szCs w:val="32"/>
          <w:highlight w:val="none"/>
        </w:rPr>
      </w:pPr>
      <w:r>
        <w:rPr>
          <w:b/>
          <w:color w:val="auto"/>
          <w:spacing w:val="20"/>
          <w:sz w:val="32"/>
          <w:szCs w:val="32"/>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360" w:lineRule="auto"/>
        <w:rPr>
          <w:b/>
          <w:color w:val="auto"/>
          <w:sz w:val="32"/>
          <w:szCs w:val="32"/>
          <w:highlight w:val="none"/>
        </w:rPr>
      </w:pPr>
      <w:r>
        <w:rPr>
          <w:b/>
          <w:color w:val="auto"/>
          <w:sz w:val="32"/>
          <w:szCs w:val="32"/>
          <w:highlight w:val="none"/>
        </w:rPr>
      </w:r>
      <w:r/>
    </w:p>
    <w:p>
      <w:pPr>
        <w:spacing w:line="360" w:lineRule="auto"/>
        <w:rPr>
          <w:b/>
          <w:color w:val="auto"/>
          <w:highlight w:val="none"/>
        </w:rPr>
      </w:pPr>
      <w:r>
        <w:rPr>
          <w:b/>
          <w:color w:val="auto"/>
          <w:spacing w:val="20"/>
          <w:sz w:val="32"/>
          <w:szCs w:val="32"/>
          <w:highlight w:val="none"/>
        </w:rPr>
        <w:br w:type="page" w:clear="all"/>
      </w:r>
      <w:r/>
    </w:p>
    <w:p>
      <w:pPr>
        <w:jc w:val="center"/>
        <w:pageBreakBefore w:val="0"/>
        <w:spacing w:line="360" w:lineRule="auto"/>
        <w:rPr>
          <w:rFonts w:hint="eastAsia"/>
          <w:color w:val="auto"/>
          <w:sz w:val="24"/>
          <w:highlight w:val="none"/>
          <w:lang w:val="en-US" w:eastAsia="zh-CN"/>
        </w:rPr>
        <w:outlineLvl w:val="2"/>
      </w:pPr>
      <w:r>
        <w:rPr>
          <w:rFonts w:hint="eastAsia"/>
          <w:b/>
          <w:bCs/>
          <w:color w:val="auto"/>
          <w:sz w:val="36"/>
          <w:szCs w:val="36"/>
          <w:highlight w:val="none"/>
          <w:lang w:val="en-US" w:eastAsia="zh-CN"/>
        </w:rPr>
        <w:t xml:space="preserve">一、资格证明文件</w:t>
      </w:r>
      <w:r/>
    </w:p>
    <w:p>
      <w:pPr>
        <w:pageBreakBefore w:val="0"/>
        <w:spacing w:line="360" w:lineRule="auto"/>
        <w:rPr>
          <w:color w:val="auto"/>
          <w:sz w:val="24"/>
          <w:szCs w:val="20"/>
          <w:highlight w:val="none"/>
        </w:rPr>
        <w:outlineLvl w:val="2"/>
      </w:pPr>
      <w:r>
        <w:rPr>
          <w:rFonts w:hint="eastAsia"/>
          <w:color w:val="auto"/>
          <w:sz w:val="24"/>
          <w:highlight w:val="none"/>
          <w:lang w:val="en-US" w:eastAsia="zh-CN"/>
        </w:rPr>
        <w:t xml:space="preserve">1 </w:t>
      </w:r>
      <w:r>
        <w:rPr>
          <w:color w:val="auto"/>
          <w:sz w:val="24"/>
          <w:highlight w:val="none"/>
        </w:rPr>
        <w:t xml:space="preserve">满足《中华人民共和国政府采购法》第二十二条规定及法律法规的其他规定</w:t>
      </w:r>
      <w:r/>
    </w:p>
    <w:p>
      <w:pPr>
        <w:pStyle w:val="962"/>
        <w:pageBreakBefore w:val="0"/>
        <w:spacing w:before="0" w:after="0" w:line="360" w:lineRule="auto"/>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lang w:val="en-US" w:eastAsia="zh-CN"/>
        </w:rPr>
        <w:t xml:space="preserve">-1</w:t>
      </w:r>
      <w:r>
        <w:rPr>
          <w:rFonts w:ascii="Times New Roman"/>
          <w:b w:val="0"/>
          <w:color w:val="auto"/>
          <w:highlight w:val="none"/>
          <w:u w:val="none"/>
        </w:rPr>
        <w:t xml:space="preserve">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color w:val="auto"/>
          <w:sz w:val="36"/>
          <w:szCs w:val="36"/>
          <w:highlight w:val="none"/>
        </w:rPr>
        <w:t xml:space="preserve">供应商资格声明函</w:t>
      </w:r>
      <w:r/>
    </w:p>
    <w:p>
      <w:pPr>
        <w:pStyle w:val="965"/>
        <w:ind w:firstLine="480"/>
        <w:pageBreakBefore w:val="0"/>
        <w:spacing w:line="360" w:lineRule="auto"/>
        <w:rPr>
          <w:color w:val="auto"/>
          <w:highlight w:val="none"/>
        </w:rPr>
      </w:pPr>
      <w:r>
        <w:rPr>
          <w:rFonts w:hint="eastAsia"/>
          <w:color w:val="auto"/>
          <w:highlight w:val="none"/>
        </w:rPr>
        <w:t xml:space="preserve">致：</w:t>
      </w:r>
      <w:r>
        <w:rPr>
          <w:rFonts w:hint="eastAsia"/>
          <w:color w:val="auto"/>
          <w:highlight w:val="none"/>
          <w:u w:val="single"/>
        </w:rPr>
        <w:t xml:space="preserve">（采购人名称）</w:t>
      </w:r>
      <w:r/>
    </w:p>
    <w:p>
      <w:pPr>
        <w:pStyle w:val="965"/>
        <w:ind w:firstLine="480"/>
        <w:pageBreakBefore w:val="0"/>
        <w:spacing w:line="360" w:lineRule="auto"/>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965"/>
        <w:ind w:firstLine="480"/>
        <w:spacing w:line="360" w:lineRule="auto"/>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965"/>
        <w:ind w:firstLine="480"/>
        <w:spacing w:line="360" w:lineRule="auto"/>
        <w:rPr>
          <w:color w:val="auto"/>
          <w:highlight w:val="none"/>
        </w:rPr>
      </w:pPr>
      <w:r>
        <w:rPr>
          <w:rFonts w:hint="eastAsia"/>
          <w:color w:val="auto"/>
          <w:highlight w:val="none"/>
        </w:rPr>
        <w:t xml:space="preserve">二、我单位未被“国家企业信用信息系统”列入经营异常名录或者严重违法企业名单。</w:t>
      </w:r>
      <w:r/>
    </w:p>
    <w:p>
      <w:pPr>
        <w:pStyle w:val="965"/>
        <w:ind w:firstLine="480"/>
        <w:spacing w:line="360" w:lineRule="auto"/>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965"/>
        <w:ind w:firstLine="480"/>
        <w:spacing w:line="360" w:lineRule="auto"/>
        <w:rPr>
          <w:color w:val="auto"/>
          <w:highlight w:val="none"/>
        </w:rPr>
      </w:pPr>
      <w:r>
        <w:rPr>
          <w:rFonts w:hint="eastAsia"/>
          <w:color w:val="auto"/>
          <w:highlight w:val="none"/>
        </w:rPr>
        <w:t xml:space="preserve">四、我单位依法进行纳税和社会保险申报并实际履行了义务。</w:t>
      </w:r>
      <w:r/>
    </w:p>
    <w:p>
      <w:pPr>
        <w:pStyle w:val="965"/>
        <w:ind w:firstLine="480"/>
        <w:spacing w:line="360" w:lineRule="auto"/>
        <w:rPr>
          <w:rFonts w:hint="eastAsia" w:eastAsia="宋体"/>
          <w:color w:val="auto"/>
          <w:highlight w:val="none"/>
          <w:lang w:eastAsia="zh-CN"/>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rPr>
          <w:rFonts w:hint="eastAsia"/>
          <w:color w:val="auto"/>
          <w:highlight w:val="none"/>
          <w:lang w:eastAsia="zh-CN"/>
        </w:rPr>
        <w:t xml:space="preserve">：</w:t>
      </w:r>
      <w:r/>
    </w:p>
    <w:p>
      <w:pPr>
        <w:pStyle w:val="965"/>
        <w:ind w:firstLine="480"/>
        <w:spacing w:line="360" w:lineRule="auto"/>
        <w:rPr>
          <w:color w:val="auto"/>
          <w:highlight w:val="none"/>
        </w:rPr>
      </w:pPr>
      <w:r>
        <w:rPr>
          <w:rFonts w:hint="eastAsia"/>
          <w:color w:val="auto"/>
          <w:highlight w:val="none"/>
        </w:rPr>
        <w:t xml:space="preserve">主要设备有：</w:t>
      </w:r>
      <w:r>
        <w:rPr>
          <w:color w:val="auto"/>
          <w:highlight w:val="none"/>
          <w:u w:val="single"/>
        </w:rPr>
        <w:t xml:space="preserve">            </w:t>
      </w:r>
      <w:r/>
    </w:p>
    <w:p>
      <w:pPr>
        <w:pStyle w:val="965"/>
        <w:ind w:firstLine="480"/>
        <w:spacing w:line="360" w:lineRule="auto"/>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965"/>
        <w:ind w:firstLine="480"/>
        <w:spacing w:line="360" w:lineRule="auto"/>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5"/>
        <w:ind w:firstLine="480"/>
        <w:spacing w:line="360" w:lineRule="auto"/>
        <w:rPr>
          <w:color w:val="auto"/>
          <w:highlight w:val="none"/>
        </w:rPr>
      </w:pPr>
      <w:r>
        <w:rPr>
          <w:rFonts w:hint="eastAsia"/>
          <w:color w:val="auto"/>
          <w:highlight w:val="none"/>
        </w:rPr>
        <w:t xml:space="preserve">七、我单位具备法律、行政法规规定的其他条件。</w:t>
      </w:r>
      <w:r/>
    </w:p>
    <w:p>
      <w:pPr>
        <w:pStyle w:val="965"/>
        <w:ind w:firstLine="480"/>
        <w:spacing w:line="360" w:lineRule="auto"/>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965"/>
        <w:ind w:firstLine="480"/>
        <w:spacing w:line="360" w:lineRule="auto"/>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965"/>
        <w:ind w:firstLine="480"/>
        <w:spacing w:line="360" w:lineRule="auto"/>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965"/>
        <w:ind w:firstLine="480"/>
        <w:spacing w:line="360" w:lineRule="auto"/>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965"/>
        <w:ind w:firstLine="480"/>
        <w:spacing w:line="360" w:lineRule="auto"/>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965"/>
        <w:ind w:firstLine="480"/>
        <w:spacing w:line="360" w:lineRule="auto"/>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965"/>
        <w:ind w:firstLine="480"/>
        <w:spacing w:line="360" w:lineRule="auto"/>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965"/>
        <w:ind w:firstLine="480"/>
        <w:spacing w:line="360" w:lineRule="auto"/>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965"/>
        <w:ind w:firstLine="480"/>
        <w:spacing w:line="360" w:lineRule="auto"/>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965"/>
        <w:ind w:firstLine="480"/>
        <w:spacing w:line="360" w:lineRule="auto"/>
        <w:rPr>
          <w:color w:val="auto"/>
          <w:highlight w:val="none"/>
        </w:rPr>
      </w:pPr>
      <w:r>
        <w:rPr>
          <w:color w:val="auto"/>
          <w:highlight w:val="none"/>
        </w:rPr>
      </w:r>
      <w:r/>
    </w:p>
    <w:p>
      <w:pPr>
        <w:pStyle w:val="965"/>
        <w:ind w:firstLine="480"/>
        <w:spacing w:line="360" w:lineRule="auto"/>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965"/>
        <w:ind w:firstLine="480"/>
        <w:spacing w:line="360" w:lineRule="auto"/>
        <w:rPr>
          <w:color w:val="auto"/>
          <w:highlight w:val="none"/>
        </w:rPr>
      </w:pPr>
      <w:r>
        <w:rPr>
          <w:color w:val="auto"/>
          <w:highlight w:val="none"/>
        </w:rPr>
      </w:r>
      <w:r/>
    </w:p>
    <w:p>
      <w:pPr>
        <w:pStyle w:val="965"/>
        <w:ind w:firstLine="480"/>
        <w:spacing w:line="360" w:lineRule="auto"/>
        <w:rPr>
          <w:color w:val="auto"/>
          <w:highlight w:val="none"/>
        </w:rPr>
      </w:pPr>
      <w:r>
        <w:rPr>
          <w:color w:val="auto"/>
          <w:highlight w:val="none"/>
        </w:rPr>
      </w:r>
      <w:r/>
    </w:p>
    <w:p>
      <w:pPr>
        <w:pStyle w:val="965"/>
        <w:ind w:firstLine="480"/>
        <w:spacing w:line="360" w:lineRule="auto"/>
        <w:rPr>
          <w:color w:val="auto"/>
          <w:highlight w:val="none"/>
        </w:rPr>
      </w:pPr>
      <w:r>
        <w:rPr>
          <w:rFonts w:hint="eastAsia"/>
          <w:color w:val="auto"/>
          <w:highlight w:val="none"/>
        </w:rPr>
        <w:t xml:space="preserve">                                            供应商：（加盖公章）</w:t>
      </w:r>
      <w:r/>
    </w:p>
    <w:p>
      <w:pPr>
        <w:pStyle w:val="965"/>
        <w:ind w:firstLine="480"/>
        <w:spacing w:line="360" w:lineRule="auto"/>
        <w:rPr>
          <w:color w:val="auto"/>
          <w:highlight w:val="none"/>
        </w:rPr>
      </w:pPr>
      <w:r>
        <w:rPr>
          <w:rFonts w:hint="eastAsia"/>
          <w:color w:val="auto"/>
          <w:highlight w:val="none"/>
        </w:rPr>
        <w:t xml:space="preserve">                                           法定代表人（或单位负责人）签字或盖章：</w:t>
      </w:r>
      <w:r/>
    </w:p>
    <w:p>
      <w:pPr>
        <w:pStyle w:val="965"/>
        <w:ind w:firstLine="4920"/>
        <w:spacing w:line="360" w:lineRule="auto"/>
        <w:rPr>
          <w:rFonts w:hint="eastAsia"/>
          <w:color w:val="auto"/>
          <w:highlight w:val="none"/>
        </w:rPr>
      </w:pPr>
      <w:r>
        <w:rPr>
          <w:rFonts w:hint="eastAsia"/>
          <w:color w:val="auto"/>
          <w:highlight w:val="none"/>
        </w:rPr>
        <w:t xml:space="preserve">日期：    年    月    日</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 xml:space="preserve">（工信部网址：http</w:t>
      </w:r>
      <w:r>
        <w:rPr>
          <w:rFonts w:hint="eastAsia"/>
          <w:color w:val="auto"/>
          <w:sz w:val="24"/>
          <w:highlight w:val="none"/>
          <w:lang w:eastAsia="zh-CN"/>
        </w:rPr>
        <w:t xml:space="preserve">：</w:t>
      </w:r>
      <w:r>
        <w:rPr>
          <w:rFonts w:hint="eastAsia"/>
          <w:color w:val="auto"/>
          <w:sz w:val="24"/>
          <w:highlight w:val="none"/>
        </w:rPr>
        <w:t xml:space="preserve">//202.106.120.146/baosong/appweb/orgScale.html）</w:t>
      </w:r>
      <w:r/>
    </w:p>
    <w:p>
      <w:pPr>
        <w:spacing w:line="360" w:lineRule="auto"/>
        <w:tabs>
          <w:tab w:val="left" w:pos="5580" w:leader="none"/>
        </w:tabs>
        <w:rPr>
          <w:color w:val="auto"/>
          <w:sz w:val="24"/>
          <w:highlight w:val="none"/>
        </w:rPr>
      </w:pPr>
      <w:r>
        <w:rPr>
          <w:color w:val="auto"/>
          <w:sz w:val="24"/>
          <w:highlight w:val="none"/>
        </w:rPr>
      </w:r>
      <w:r/>
    </w:p>
    <w:p>
      <w:pPr>
        <w:jc w:val="left"/>
        <w:spacing w:line="360" w:lineRule="auto"/>
        <w:widowControl/>
        <w:rPr>
          <w:color w:val="auto"/>
          <w:sz w:val="24"/>
          <w:highlight w:val="none"/>
        </w:rPr>
      </w:pPr>
      <w:r>
        <w:rPr>
          <w:color w:val="auto"/>
          <w:sz w:val="24"/>
          <w:highlight w:val="none"/>
        </w:rPr>
        <w:br w:type="page" w:clear="all"/>
      </w:r>
      <w:r/>
    </w:p>
    <w:p>
      <w:pPr>
        <w:jc w:val="center"/>
        <w:keepLines w:val="0"/>
        <w:keepNext w:val="0"/>
        <w:pageBreakBefore w:val="0"/>
        <w:spacing w:line="360" w:lineRule="auto"/>
        <w:widowControl w:val="off"/>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spacing w:line="360" w:lineRule="auto"/>
        <w:rPr>
          <w:color w:val="auto"/>
          <w:sz w:val="24"/>
          <w:szCs w:val="21"/>
          <w:highlight w:val="none"/>
        </w:rPr>
      </w:pPr>
      <w:r>
        <w:rPr>
          <w:color w:val="auto"/>
          <w:sz w:val="24"/>
          <w:szCs w:val="21"/>
          <w:highlight w:val="none"/>
        </w:rPr>
      </w:r>
      <w:r/>
    </w:p>
    <w:p>
      <w:pPr>
        <w:jc w:val="left"/>
        <w:spacing w:line="360" w:lineRule="auto"/>
        <w:rPr>
          <w:color w:val="auto"/>
          <w:sz w:val="24"/>
          <w:szCs w:val="21"/>
          <w:highlight w:val="none"/>
        </w:rPr>
      </w:pPr>
      <w:r>
        <w:rPr>
          <w:color w:val="auto"/>
          <w:sz w:val="24"/>
          <w:szCs w:val="21"/>
          <w:highlight w:val="none"/>
        </w:rPr>
      </w:r>
      <w:r/>
    </w:p>
    <w:tbl>
      <w:tblPr>
        <w:tblStyle w:val="96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360" w:lineRule="auto"/>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spacing w:line="360" w:lineRule="auto"/>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keepLines w:val="0"/>
        <w:keepNext w:val="0"/>
        <w:pageBreakBefore w:val="0"/>
        <w:spacing w:line="360" w:lineRule="auto"/>
        <w:widowControl w:val="off"/>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ind w:firstLine="504"/>
        <w:spacing w:line="360" w:lineRule="auto"/>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360" w:lineRule="auto"/>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360" w:lineRule="auto"/>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r>
      <w:r/>
    </w:p>
    <w:p>
      <w:pPr>
        <w:ind w:right="1560" w:firstLine="504"/>
        <w:jc w:val="center"/>
        <w:spacing w:line="360" w:lineRule="auto"/>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360" w:lineRule="auto"/>
        <w:tabs>
          <w:tab w:val="left" w:pos="4860" w:leader="none"/>
        </w:tabs>
        <w:rPr>
          <w:color w:val="auto"/>
          <w:spacing w:val="6"/>
          <w:sz w:val="24"/>
          <w:highlight w:val="none"/>
        </w:rPr>
      </w:pPr>
      <w:r>
        <w:rPr>
          <w:color w:val="auto"/>
          <w:spacing w:val="6"/>
          <w:sz w:val="24"/>
          <w:highlight w:val="none"/>
        </w:rPr>
        <w:t xml:space="preserve">       日  期：</w:t>
      </w:r>
      <w:r/>
    </w:p>
    <w:p>
      <w:pPr>
        <w:jc w:val="left"/>
        <w:spacing w:line="360" w:lineRule="auto"/>
        <w:widowControl/>
        <w:rPr>
          <w:color w:val="auto"/>
          <w:sz w:val="24"/>
          <w:szCs w:val="20"/>
          <w:highlight w:val="none"/>
        </w:rPr>
      </w:pPr>
      <w:r>
        <w:rPr>
          <w:color w:val="auto"/>
          <w:sz w:val="24"/>
          <w:szCs w:val="20"/>
          <w:highlight w:val="none"/>
        </w:rPr>
        <w:br w:type="page" w:clear="all"/>
      </w:r>
      <w:r/>
    </w:p>
    <w:p>
      <w:pPr>
        <w:spacing w:line="360" w:lineRule="auto"/>
        <w:rPr>
          <w:rFonts w:hint="default" w:eastAsia="宋体"/>
          <w:color w:val="auto"/>
          <w:sz w:val="24"/>
          <w:szCs w:val="20"/>
          <w:highlight w:val="none"/>
          <w:lang w:val="en-US" w:eastAsia="zh-CN"/>
        </w:rPr>
        <w:outlineLvl w:val="2"/>
      </w:pPr>
      <w:r>
        <w:rPr>
          <w:color w:val="auto"/>
          <w:sz w:val="24"/>
          <w:szCs w:val="20"/>
          <w:highlight w:val="none"/>
        </w:rPr>
        <w:t xml:space="preserve">2-3</w:t>
      </w:r>
      <w:r>
        <w:rPr>
          <w:color w:val="auto"/>
          <w:sz w:val="24"/>
          <w:highlight w:val="none"/>
        </w:rPr>
        <w:t xml:space="preserve">其它落实政府采购政策的资格要求</w:t>
      </w:r>
      <w:r>
        <w:rPr>
          <w:color w:val="auto"/>
          <w:sz w:val="24"/>
          <w:szCs w:val="20"/>
          <w:highlight w:val="none"/>
        </w:rPr>
        <w:t xml:space="preserve">（如有）</w:t>
      </w: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无</w:t>
      </w:r>
      <w:r/>
    </w:p>
    <w:p>
      <w:pPr>
        <w:spacing w:line="360" w:lineRule="auto"/>
        <w:rPr>
          <w:color w:val="auto"/>
          <w:sz w:val="24"/>
          <w:szCs w:val="20"/>
          <w:highlight w:val="none"/>
        </w:rPr>
        <w:outlineLvl w:val="2"/>
      </w:pPr>
      <w:r>
        <w:rPr>
          <w:color w:val="auto"/>
          <w:sz w:val="24"/>
          <w:szCs w:val="20"/>
          <w:highlight w:val="none"/>
        </w:rPr>
        <w:t xml:space="preserve">3 </w:t>
      </w:r>
      <w:r>
        <w:rPr>
          <w:color w:val="auto"/>
          <w:sz w:val="24"/>
          <w:highlight w:val="none"/>
        </w:rPr>
        <w:t xml:space="preserve">本项目的特定资格要求</w:t>
      </w:r>
      <w:r>
        <w:rPr>
          <w:color w:val="auto"/>
          <w:sz w:val="24"/>
          <w:szCs w:val="20"/>
          <w:highlight w:val="none"/>
        </w:rPr>
        <w:t xml:space="preserve">（如有）</w:t>
      </w:r>
      <w:r/>
    </w:p>
    <w:p>
      <w:pPr>
        <w:spacing w:line="360" w:lineRule="auto"/>
        <w:tabs>
          <w:tab w:val="left" w:pos="5580" w:leader="none"/>
        </w:tabs>
        <w:rPr>
          <w:rFonts w:hint="default" w:eastAsia="宋体"/>
          <w:color w:val="auto"/>
          <w:sz w:val="24"/>
          <w:szCs w:val="20"/>
          <w:highlight w:val="none"/>
          <w:lang w:val="en-US" w:eastAsia="zh-CN"/>
        </w:rPr>
      </w:pPr>
      <w:r>
        <w:rPr>
          <w:rFonts w:hint="eastAsia"/>
          <w:color w:val="auto"/>
          <w:sz w:val="24"/>
          <w:szCs w:val="20"/>
          <w:highlight w:val="none"/>
          <w:lang w:val="en-US" w:eastAsia="zh-CN"/>
        </w:rPr>
        <w:t xml:space="preserve">3-2其他特定资格要求（如有）：无</w:t>
      </w:r>
      <w:r/>
    </w:p>
    <w:p>
      <w:pPr>
        <w:spacing w:line="360" w:lineRule="auto"/>
        <w:tabs>
          <w:tab w:val="left" w:pos="5580" w:leader="none"/>
        </w:tabs>
        <w:rPr>
          <w:rFonts w:hint="eastAsia"/>
          <w:color w:val="auto"/>
          <w:sz w:val="24"/>
          <w:szCs w:val="20"/>
          <w:highlight w:val="none"/>
        </w:rPr>
      </w:pPr>
      <w:r>
        <w:rPr>
          <w:rFonts w:hint="eastAsia"/>
          <w:color w:val="auto"/>
          <w:sz w:val="24"/>
          <w:szCs w:val="20"/>
          <w:highlight w:val="none"/>
        </w:rPr>
        <w:t xml:space="preserve">★特别提醒：供应商提供相关证明材料加盖公章</w:t>
      </w:r>
      <w:r/>
    </w:p>
    <w:p>
      <w:pPr>
        <w:spacing w:line="360" w:lineRule="auto"/>
        <w:rPr>
          <w:color w:val="auto"/>
          <w:sz w:val="24"/>
          <w:szCs w:val="20"/>
          <w:highlight w:val="none"/>
        </w:rPr>
        <w:outlineLvl w:val="2"/>
      </w:pPr>
      <w:r>
        <w:rPr>
          <w:b/>
          <w:color w:val="auto"/>
          <w:sz w:val="24"/>
          <w:highlight w:val="none"/>
        </w:rPr>
        <w:br w:type="page" w:clear="all"/>
      </w:r>
      <w:bookmarkStart w:id="645" w:name="_Toc265228395"/>
      <w:r/>
      <w:bookmarkStart w:id="646" w:name="_Toc150774762"/>
      <w:r/>
      <w:bookmarkStart w:id="647" w:name="_Toc150480795"/>
      <w:r/>
      <w:bookmarkStart w:id="648" w:name="_Toc305158825"/>
      <w:r/>
      <w:bookmarkStart w:id="649" w:name="_Toc142311059"/>
      <w:r/>
      <w:bookmarkStart w:id="650" w:name="_Toc520356218"/>
      <w:r/>
      <w:bookmarkStart w:id="651" w:name="_Toc127151557"/>
      <w:r/>
      <w:bookmarkStart w:id="652" w:name="_Ref467988705"/>
      <w:r/>
      <w:bookmarkStart w:id="653" w:name="_Toc226965830"/>
      <w:r/>
      <w:bookmarkStart w:id="654" w:name="_Toc226337253"/>
      <w:r/>
      <w:bookmarkStart w:id="655" w:name="_Toc226965747"/>
      <w:r/>
      <w:bookmarkStart w:id="656" w:name="_Toc226309801"/>
      <w:r/>
      <w:bookmarkStart w:id="657" w:name="_Toc480942350"/>
      <w:r/>
      <w:bookmarkStart w:id="658" w:name="_Toc305158899"/>
      <w:r/>
      <w:bookmarkStart w:id="659" w:name="_Toc264969247"/>
      <w:r/>
      <w:bookmarkStart w:id="660" w:name="_Toc195842922"/>
      <w:r/>
      <w:r/>
    </w:p>
    <w:p>
      <w:pPr>
        <w:pStyle w:val="962"/>
        <w:jc w:val="center"/>
        <w:keepLines/>
        <w:keepNext/>
        <w:pageBreakBefore w:val="0"/>
        <w:spacing w:before="0" w:after="0" w:line="360" w:lineRule="auto"/>
        <w:widowControl w:val="off"/>
        <w:rPr>
          <w:b/>
          <w:bCs w:val="0"/>
          <w:color w:val="auto"/>
          <w:sz w:val="36"/>
          <w:szCs w:val="36"/>
          <w:highlight w:val="none"/>
          <w:u w:val="none"/>
        </w:rPr>
      </w:pPr>
      <w:r>
        <w:rPr>
          <w:rFonts w:hint="eastAsia"/>
          <w:b/>
          <w:bCs w:val="0"/>
          <w:color w:val="auto"/>
          <w:sz w:val="36"/>
          <w:szCs w:val="36"/>
          <w:highlight w:val="none"/>
          <w:u w:val="none"/>
          <w:lang w:val="en-US" w:eastAsia="zh-CN"/>
        </w:rPr>
        <w:t xml:space="preserve">二</w:t>
      </w:r>
      <w:r>
        <w:rPr>
          <w:rFonts w:hint="eastAsia"/>
          <w:b/>
          <w:bCs w:val="0"/>
          <w:color w:val="auto"/>
          <w:sz w:val="36"/>
          <w:szCs w:val="36"/>
          <w:highlight w:val="none"/>
          <w:u w:val="none"/>
        </w:rPr>
        <w:t xml:space="preserve">、商务技术文件格式</w:t>
      </w:r>
      <w:r/>
    </w:p>
    <w:p>
      <w:pPr>
        <w:spacing w:line="360" w:lineRule="auto"/>
        <w:rPr>
          <w:color w:val="auto"/>
          <w:sz w:val="24"/>
          <w:szCs w:val="20"/>
          <w:highlight w:val="none"/>
        </w:rPr>
        <w:outlineLvl w:val="2"/>
      </w:pPr>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spacing w:line="360" w:lineRule="auto"/>
        <w:widowControl/>
        <w:rPr>
          <w:rFonts w:hint="eastAsia"/>
          <w:color w:val="auto"/>
          <w:sz w:val="24"/>
          <w:highlight w:val="none"/>
        </w:rPr>
      </w:pPr>
      <w:r/>
      <w:bookmarkStart w:id="661" w:name="_Hlt520356243"/>
      <w:r/>
      <w:bookmarkEnd w:id="661"/>
      <w:r/>
      <w:bookmarkStart w:id="662" w:name="_Hlt520355938"/>
      <w:r/>
      <w:bookmarkEnd w:id="662"/>
      <w:r>
        <w:rPr>
          <w:color w:val="auto"/>
          <w:sz w:val="24"/>
          <w:highlight w:val="none"/>
        </w:rPr>
        <w:br w:type="page" w:clear="all"/>
      </w:r>
      <w:r/>
    </w:p>
    <w:p>
      <w:pPr>
        <w:jc w:val="left"/>
        <w:spacing w:line="360" w:lineRule="auto"/>
        <w:widowControl/>
        <w:rPr>
          <w:rFonts w:hint="eastAsia"/>
          <w:color w:val="auto"/>
          <w:sz w:val="24"/>
          <w:highlight w:val="none"/>
        </w:rPr>
      </w:pP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单位名称</w:t>
      </w:r>
      <w:r>
        <w:rPr>
          <w:rFonts w:hint="eastAsia" w:ascii="宋体" w:hAnsi="宋体"/>
          <w:color w:val="auto"/>
          <w:sz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姓名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性别</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年龄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职务</w:t>
      </w:r>
      <w:r>
        <w:rPr>
          <w:rFonts w:hint="eastAsia" w:ascii="宋体" w:hAnsi="宋体"/>
          <w:color w:val="auto"/>
          <w:sz w:val="24"/>
          <w:highlight w:val="none"/>
          <w:lang w:eastAsia="zh-CN"/>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360" w:lineRule="auto"/>
        <w:rPr>
          <w:rFonts w:ascii="宋体" w:hAnsi="宋体"/>
          <w:color w:val="auto"/>
          <w:sz w:val="24"/>
          <w:highlight w:val="none"/>
        </w:rPr>
      </w:pPr>
      <w:r>
        <w:rPr>
          <w:rFonts w:hint="eastAsia" w:ascii="宋体" w:hAnsi="宋体"/>
          <w:color w:val="auto"/>
          <w:sz w:val="24"/>
          <w:highlight w:val="none"/>
        </w:rPr>
        <w:t xml:space="preserve">特此证明。</w:t>
      </w:r>
      <w:r/>
    </w:p>
    <w:p>
      <w:pPr>
        <w:spacing w:line="360" w:lineRule="auto"/>
        <w:rPr>
          <w:rFonts w:ascii="宋体" w:hAnsi="宋体"/>
          <w:color w:val="auto"/>
          <w:sz w:val="24"/>
          <w:highlight w:val="none"/>
        </w:rPr>
      </w:pPr>
      <w:r>
        <w:rPr>
          <w:rFonts w:ascii="宋体" w:hAnsi="宋体"/>
          <w:color w:val="auto"/>
          <w:sz w:val="24"/>
          <w:highlight w:val="none"/>
        </w:rPr>
      </w:r>
      <w:r/>
    </w:p>
    <w:p>
      <w:pPr>
        <w:pStyle w:val="966"/>
        <w:ind w:right="-46"/>
        <w:spacing w:line="360"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r>
      <w:r/>
    </w:p>
    <w:p>
      <w:pPr>
        <w:jc w:val="left"/>
        <w:spacing w:line="360" w:lineRule="auto"/>
        <w:widowControl/>
        <w:rPr>
          <w:rFonts w:hint="eastAsia"/>
          <w:color w:val="auto"/>
          <w:sz w:val="24"/>
          <w:highlight w:val="none"/>
        </w:rPr>
      </w:pPr>
      <w:r>
        <w:rPr>
          <w:rFonts w:hint="eastAsia"/>
          <w:color w:val="auto"/>
          <w:sz w:val="24"/>
          <w:highlight w:val="none"/>
        </w:rPr>
        <w:t xml:space="preserve">6  政府采购供应商信用承诺书</w:t>
      </w:r>
      <w:r>
        <w:rPr>
          <w:color w:val="auto"/>
          <w:sz w:val="24"/>
          <w:szCs w:val="20"/>
          <w:highlight w:val="none"/>
        </w:rPr>
        <w:t xml:space="preserve">（实质性格式）</w:t>
      </w:r>
      <w:r/>
    </w:p>
    <w:p>
      <w:pPr>
        <w:ind w:firstLine="321"/>
        <w:jc w:val="center"/>
        <w:spacing w:line="360" w:lineRule="auto"/>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981"/>
        <w:ind w:right="1050" w:firstLine="2880"/>
        <w:jc w:val="both"/>
        <w:spacing w:line="360"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7  报价一览表</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
    </w:p>
    <w:p>
      <w:pPr>
        <w:jc w:val="center"/>
        <w:spacing w:line="360" w:lineRule="auto"/>
        <w:rPr>
          <w:b/>
          <w:color w:val="auto"/>
          <w:sz w:val="36"/>
          <w:szCs w:val="36"/>
          <w:highlight w:val="none"/>
        </w:rPr>
      </w:pPr>
      <w:r/>
      <w:bookmarkStart w:id="663" w:name="_Toc305158826"/>
      <w:r/>
      <w:bookmarkStart w:id="664" w:name="_Toc226965748"/>
      <w:r/>
      <w:bookmarkStart w:id="665" w:name="_Toc164608672"/>
      <w:r/>
      <w:bookmarkStart w:id="666" w:name="_Toc264969248"/>
      <w:r/>
      <w:bookmarkStart w:id="667" w:name="_Toc305158900"/>
      <w:r/>
      <w:bookmarkStart w:id="668" w:name="_Toc226965831"/>
      <w:r/>
      <w:bookmarkStart w:id="669" w:name="_Toc226337254"/>
      <w:r/>
      <w:bookmarkStart w:id="670" w:name="_Toc265228396"/>
      <w:r/>
      <w:bookmarkStart w:id="671" w:name="_Toc164608827"/>
      <w:r/>
      <w:bookmarkStart w:id="672" w:name="_Toc226309802"/>
      <w:r/>
      <w:bookmarkStart w:id="673" w:name="_Toc195842923"/>
      <w:r>
        <w:rPr>
          <w:rFonts w:hint="eastAsia"/>
          <w:b/>
          <w:color w:val="auto"/>
          <w:sz w:val="36"/>
          <w:szCs w:val="36"/>
          <w:highlight w:val="none"/>
        </w:rPr>
        <w:t xml:space="preserve">报价一览表</w:t>
      </w:r>
      <w:bookmarkEnd w:id="663"/>
      <w:r/>
      <w:bookmarkEnd w:id="664"/>
      <w:r/>
      <w:bookmarkEnd w:id="665"/>
      <w:r/>
      <w:bookmarkEnd w:id="666"/>
      <w:r/>
      <w:bookmarkEnd w:id="667"/>
      <w:r/>
      <w:bookmarkEnd w:id="668"/>
      <w:r/>
      <w:bookmarkEnd w:id="669"/>
      <w:r/>
      <w:bookmarkEnd w:id="670"/>
      <w:r/>
      <w:bookmarkEnd w:id="671"/>
      <w:r/>
      <w:bookmarkEnd w:id="672"/>
      <w:r/>
      <w:bookmarkEnd w:id="673"/>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64"/>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60" w:lineRule="auto"/>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spacing w:line="360" w:lineRule="auto"/>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spacing w:line="360" w:lineRule="auto"/>
              <w:tabs>
                <w:tab w:val="left" w:pos="5580" w:leader="none"/>
              </w:tabs>
              <w:rPr>
                <w:color w:val="auto"/>
                <w:sz w:val="24"/>
                <w:highlight w:val="none"/>
              </w:rPr>
            </w:pPr>
            <w:r>
              <w:rPr>
                <w:color w:val="auto"/>
                <w:sz w:val="24"/>
                <w:highlight w:val="none"/>
              </w:rPr>
            </w:r>
            <w:r/>
          </w:p>
        </w:tc>
      </w:tr>
    </w:tbl>
    <w:p>
      <w:pPr>
        <w:jc w:val="left"/>
        <w:spacing w:line="360" w:lineRule="auto"/>
        <w:rPr>
          <w:color w:val="auto"/>
          <w:sz w:val="24"/>
          <w:highlight w:val="none"/>
        </w:rPr>
      </w:pPr>
      <w:r>
        <w:rPr>
          <w:color w:val="auto"/>
          <w:sz w:val="24"/>
          <w:highlight w:val="none"/>
        </w:rPr>
      </w:r>
      <w:r/>
    </w:p>
    <w:p>
      <w:pPr>
        <w:jc w:val="left"/>
        <w:spacing w:line="360" w:lineRule="auto"/>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spacing w:line="360" w:lineRule="auto"/>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spacing w:line="360" w:lineRule="auto"/>
        <w:widowControl/>
        <w:rPr>
          <w:color w:val="auto"/>
          <w:sz w:val="24"/>
          <w:szCs w:val="20"/>
          <w:highlight w:val="none"/>
        </w:rPr>
      </w:pPr>
      <w:r/>
      <w:bookmarkStart w:id="674" w:name="_Toc265228397"/>
      <w:r/>
      <w:bookmarkStart w:id="675" w:name="_Toc226337255"/>
      <w:r/>
      <w:bookmarkStart w:id="676" w:name="_Toc226965832"/>
      <w:r/>
      <w:bookmarkStart w:id="677" w:name="_Toc150774763"/>
      <w:r/>
      <w:bookmarkStart w:id="678" w:name="_Toc264969249"/>
      <w:r/>
      <w:bookmarkStart w:id="679" w:name="_Toc195842924"/>
      <w:r/>
      <w:bookmarkStart w:id="680" w:name="_Toc305158901"/>
      <w:r/>
      <w:bookmarkStart w:id="681" w:name="_Toc305158827"/>
      <w:r/>
      <w:bookmarkStart w:id="682" w:name="_Toc150480796"/>
      <w:r/>
      <w:bookmarkStart w:id="683" w:name="_Toc226309803"/>
      <w:r/>
      <w:bookmarkStart w:id="684" w:name="_Toc142311060"/>
      <w:r/>
      <w:bookmarkStart w:id="685" w:name="_Toc127151558"/>
      <w:r/>
      <w:bookmarkStart w:id="686" w:name="_Toc226965749"/>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8  分项报价表</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jc w:val="center"/>
        <w:spacing w:line="360" w:lineRule="auto"/>
        <w:rPr>
          <w:b/>
          <w:i w:val="0"/>
          <w:iCs w:val="0"/>
          <w:color w:val="auto"/>
          <w:sz w:val="36"/>
          <w:szCs w:val="36"/>
          <w:highlight w:val="none"/>
        </w:rPr>
      </w:pPr>
      <w:r/>
      <w:bookmarkStart w:id="687" w:name="_Toc226965835"/>
      <w:r/>
      <w:bookmarkStart w:id="688" w:name="_Toc226337258"/>
      <w:r/>
      <w:bookmarkStart w:id="689" w:name="_Toc265228400"/>
      <w:r/>
      <w:bookmarkStart w:id="690" w:name="_Toc305158830"/>
      <w:r/>
      <w:bookmarkStart w:id="691" w:name="_Toc195842927"/>
      <w:r/>
      <w:bookmarkStart w:id="692" w:name="_Toc226965752"/>
      <w:r/>
      <w:bookmarkStart w:id="693" w:name="_Toc264969252"/>
      <w:r/>
      <w:bookmarkStart w:id="694" w:name="_Toc305158904"/>
      <w:r/>
      <w:bookmarkStart w:id="695" w:name="_Toc127151562"/>
      <w:r/>
      <w:bookmarkStart w:id="696" w:name="_Toc150774765"/>
      <w:r/>
      <w:bookmarkStart w:id="697" w:name="_Toc150480798"/>
      <w:r/>
      <w:bookmarkStart w:id="698" w:name="_Toc142311062"/>
      <w:r/>
      <w:bookmarkStart w:id="699" w:name="_Toc226309806"/>
      <w:r/>
      <w:bookmarkStart w:id="700" w:name="_Toc226965834"/>
      <w:r/>
      <w:bookmarkStart w:id="701" w:name="_Toc265228399"/>
      <w:r/>
      <w:bookmarkStart w:id="702" w:name="_Toc226965751"/>
      <w:r/>
      <w:bookmarkStart w:id="703" w:name="_Toc264969251"/>
      <w:r/>
      <w:bookmarkStart w:id="704" w:name="_Toc150480797"/>
      <w:r/>
      <w:bookmarkStart w:id="705" w:name="_Toc305158829"/>
      <w:r/>
      <w:bookmarkStart w:id="706" w:name="_Toc226309805"/>
      <w:r/>
      <w:bookmarkStart w:id="707" w:name="_Toc142311061"/>
      <w:r/>
      <w:bookmarkStart w:id="708" w:name="_Toc127151561"/>
      <w:r/>
      <w:bookmarkStart w:id="709" w:name="_Toc226337257"/>
      <w:r/>
      <w:bookmarkStart w:id="710" w:name="_Toc305158903"/>
      <w:r/>
      <w:bookmarkStart w:id="711" w:name="_Toc150774764"/>
      <w:r/>
      <w:bookmarkStart w:id="712" w:name="_Toc195842926"/>
      <w:r>
        <w:rPr>
          <w:rFonts w:hint="eastAsia"/>
          <w:b/>
          <w:i w:val="0"/>
          <w:iCs w:val="0"/>
          <w:color w:val="auto"/>
          <w:sz w:val="36"/>
          <w:szCs w:val="36"/>
          <w:highlight w:val="none"/>
        </w:rPr>
        <w:t xml:space="preserve">分项报价表</w:t>
      </w:r>
      <w:r/>
    </w:p>
    <w:p>
      <w:pPr>
        <w:jc w:val="center"/>
        <w:spacing w:line="360" w:lineRule="auto"/>
        <w:rPr>
          <w:i w:val="0"/>
          <w:iCs w:val="0"/>
          <w:color w:val="auto"/>
          <w:sz w:val="36"/>
          <w:szCs w:val="36"/>
          <w:highlight w:val="none"/>
        </w:rPr>
      </w:pPr>
      <w:r>
        <w:rPr>
          <w:i w:val="0"/>
          <w:iCs w:val="0"/>
          <w:color w:val="auto"/>
          <w:sz w:val="36"/>
          <w:szCs w:val="36"/>
          <w:highlight w:val="none"/>
        </w:rPr>
      </w:r>
      <w:r/>
    </w:p>
    <w:p>
      <w:pPr>
        <w:jc w:val="left"/>
        <w:spacing w:before="240" w:after="240" w:line="360" w:lineRule="auto"/>
        <w:rPr>
          <w:b/>
          <w:i w:val="0"/>
          <w:iCs w:val="0"/>
          <w:color w:val="auto"/>
          <w:sz w:val="24"/>
          <w:highlight w:val="none"/>
        </w:rPr>
      </w:pPr>
      <w:r>
        <w:rPr>
          <w:rFonts w:hint="eastAsia"/>
          <w:b/>
          <w:i w:val="0"/>
          <w:iCs w:val="0"/>
          <w:color w:val="auto"/>
          <w:sz w:val="24"/>
          <w:highlight w:val="none"/>
        </w:rPr>
        <w:t xml:space="preserve">（格式示例二</w:t>
      </w:r>
      <w:r>
        <w:rPr>
          <w:b/>
          <w:i w:val="0"/>
          <w:iCs w:val="0"/>
          <w:color w:val="auto"/>
          <w:sz w:val="24"/>
          <w:highlight w:val="none"/>
        </w:rPr>
        <w:t xml:space="preserve">，适用于服务类项目</w:t>
      </w:r>
      <w:r>
        <w:rPr>
          <w:rFonts w:hint="eastAsia"/>
          <w:b/>
          <w:i w:val="0"/>
          <w:iCs w:val="0"/>
          <w:color w:val="auto"/>
          <w:sz w:val="24"/>
          <w:highlight w:val="none"/>
        </w:rPr>
        <w:t xml:space="preserve">，可以根据项目实际情况调整）</w:t>
      </w:r>
      <w:r/>
    </w:p>
    <w:p>
      <w:pPr>
        <w:spacing w:line="360" w:lineRule="auto"/>
        <w:tabs>
          <w:tab w:val="left" w:pos="1800" w:leader="none"/>
          <w:tab w:val="left" w:pos="5580" w:leader="none"/>
        </w:tabs>
        <w:rPr>
          <w:i w:val="0"/>
          <w:iCs w:val="0"/>
          <w:color w:val="auto"/>
          <w:sz w:val="24"/>
          <w:highlight w:val="none"/>
        </w:rPr>
      </w:pPr>
      <w:r>
        <w:rPr>
          <w:i w:val="0"/>
          <w:iCs w:val="0"/>
          <w:color w:val="auto"/>
          <w:sz w:val="24"/>
          <w:highlight w:val="none"/>
        </w:rPr>
        <w:t xml:space="preserve">项目编号/包号：___________ 项目名称：__________报价单位：人民币元</w:t>
      </w:r>
      <w:r/>
    </w:p>
    <w:tbl>
      <w:tblPr>
        <w:tblStyle w:val="964"/>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i w:val="0"/>
                <w:iCs w:val="0"/>
                <w:color w:val="auto"/>
                <w:sz w:val="24"/>
                <w:highlight w:val="none"/>
              </w:rPr>
            </w:pPr>
            <w:r>
              <w:rPr>
                <w:rFonts w:ascii="宋体" w:hAnsi="宋体" w:cs="Arial"/>
                <w:b/>
                <w:bCs/>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i w:val="0"/>
                <w:iCs w:val="0"/>
                <w:color w:val="auto"/>
                <w:sz w:val="24"/>
                <w:highlight w:val="none"/>
              </w:rPr>
            </w:pPr>
            <w:r>
              <w:rPr>
                <w:rFonts w:ascii="宋体" w:hAnsi="宋体" w:cs="Arial"/>
                <w:b/>
                <w:bCs/>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i w:val="0"/>
                <w:iCs w:val="0"/>
                <w:color w:val="auto"/>
                <w:sz w:val="24"/>
                <w:highlight w:val="none"/>
              </w:rPr>
            </w:pPr>
            <w:r>
              <w:rPr>
                <w:rFonts w:ascii="宋体" w:hAnsi="宋体" w:cs="Arial"/>
                <w:b/>
                <w:bCs/>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i w:val="0"/>
                <w:iCs w:val="0"/>
                <w:color w:val="auto"/>
                <w:sz w:val="24"/>
                <w:highlight w:val="none"/>
              </w:rPr>
            </w:pPr>
            <w:r>
              <w:rPr>
                <w:rFonts w:ascii="宋体" w:hAnsi="宋体" w:cs="Arial"/>
                <w:b/>
                <w:bCs/>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i w:val="0"/>
                <w:iCs w:val="0"/>
                <w:color w:val="auto"/>
                <w:sz w:val="24"/>
                <w:highlight w:val="none"/>
              </w:rPr>
            </w:pPr>
            <w:r>
              <w:rPr>
                <w:rFonts w:ascii="宋体" w:hAnsi="宋体" w:cs="Arial"/>
                <w:b/>
                <w:bCs/>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i w:val="0"/>
                <w:iCs w:val="0"/>
                <w:color w:val="auto"/>
                <w:sz w:val="24"/>
                <w:highlight w:val="none"/>
              </w:rPr>
            </w:pPr>
            <w:r>
              <w:rPr>
                <w:rFonts w:ascii="宋体" w:hAnsi="宋体" w:cs="Arial"/>
                <w:b/>
                <w:bCs/>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hint="eastAsia" w:ascii="宋体" w:hAnsi="宋体" w:cs="Arial"/>
                <w:i w:val="0"/>
                <w:iCs w:val="0"/>
                <w:color w:val="auto"/>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i w:val="0"/>
                <w:iCs w:val="0"/>
                <w:color w:val="auto"/>
                <w:sz w:val="24"/>
                <w:highlight w:val="none"/>
              </w:rPr>
            </w:pPr>
            <w:r>
              <w:rPr>
                <w:rFonts w:ascii="宋体" w:hAnsi="宋体" w:cs="Arial"/>
                <w:i w:val="0"/>
                <w:iCs w:val="0"/>
                <w:color w:val="auto"/>
                <w:sz w:val="24"/>
                <w:highlight w:val="none"/>
              </w:rPr>
            </w:r>
            <w:r/>
          </w:p>
        </w:tc>
      </w:tr>
    </w:tbl>
    <w:p>
      <w:pPr>
        <w:jc w:val="left"/>
        <w:spacing w:line="360" w:lineRule="auto"/>
        <w:tabs>
          <w:tab w:val="left" w:pos="1800" w:leader="none"/>
          <w:tab w:val="left" w:pos="5580" w:leader="none"/>
        </w:tabs>
        <w:rPr>
          <w:rFonts w:hint="eastAsia"/>
          <w:i w:val="0"/>
          <w:iCs w:val="0"/>
          <w:color w:val="auto"/>
          <w:sz w:val="24"/>
          <w:highlight w:val="none"/>
        </w:rPr>
      </w:pPr>
      <w:r>
        <w:rPr>
          <w:rFonts w:hint="eastAsia"/>
          <w:i w:val="0"/>
          <w:iCs w:val="0"/>
          <w:color w:val="auto"/>
          <w:sz w:val="24"/>
          <w:highlight w:val="none"/>
        </w:rPr>
      </w:r>
      <w:r/>
    </w:p>
    <w:p>
      <w:pPr>
        <w:jc w:val="left"/>
        <w:spacing w:line="360" w:lineRule="auto"/>
        <w:tabs>
          <w:tab w:val="left" w:pos="1800" w:leader="none"/>
          <w:tab w:val="left" w:pos="5580" w:leader="none"/>
        </w:tabs>
        <w:rPr>
          <w:rFonts w:hint="eastAsia"/>
          <w:i w:val="0"/>
          <w:iCs w:val="0"/>
          <w:color w:val="auto"/>
          <w:sz w:val="24"/>
          <w:highlight w:val="none"/>
        </w:rPr>
      </w:pPr>
      <w:r>
        <w:rPr>
          <w:rFonts w:hint="eastAsia"/>
          <w:i w:val="0"/>
          <w:iCs w:val="0"/>
          <w:color w:val="auto"/>
          <w:sz w:val="24"/>
          <w:highlight w:val="none"/>
        </w:rPr>
      </w:r>
      <w:r/>
    </w:p>
    <w:p>
      <w:pPr>
        <w:jc w:val="left"/>
        <w:spacing w:line="360" w:lineRule="auto"/>
        <w:tabs>
          <w:tab w:val="left" w:pos="1800" w:leader="none"/>
          <w:tab w:val="left" w:pos="5580" w:leader="none"/>
        </w:tabs>
        <w:rPr>
          <w:i w:val="0"/>
          <w:iCs w:val="0"/>
          <w:color w:val="auto"/>
          <w:sz w:val="24"/>
          <w:highlight w:val="none"/>
        </w:rPr>
      </w:pPr>
      <w:r>
        <w:rPr>
          <w:i w:val="0"/>
          <w:iCs w:val="0"/>
          <w:color w:val="auto"/>
          <w:sz w:val="24"/>
          <w:highlight w:val="none"/>
        </w:rPr>
        <w:t xml:space="preserve">注：1.本表应按包分别填写。</w:t>
      </w:r>
      <w:r/>
    </w:p>
    <w:p>
      <w:pPr>
        <w:ind w:firstLine="480"/>
        <w:jc w:val="left"/>
        <w:spacing w:line="360" w:lineRule="auto"/>
        <w:tabs>
          <w:tab w:val="left" w:pos="1800" w:leader="none"/>
          <w:tab w:val="left" w:pos="5580" w:leader="none"/>
        </w:tabs>
        <w:rPr>
          <w:i w:val="0"/>
          <w:iCs w:val="0"/>
          <w:color w:val="auto"/>
          <w:sz w:val="24"/>
          <w:highlight w:val="none"/>
        </w:rPr>
      </w:pPr>
      <w:r>
        <w:rPr>
          <w:i w:val="0"/>
          <w:iCs w:val="0"/>
          <w:color w:val="auto"/>
          <w:sz w:val="24"/>
          <w:highlight w:val="none"/>
        </w:rPr>
        <w:t xml:space="preserve">2.如果不提供分项报价将视为没有实质性响应磋商文件</w:t>
      </w:r>
      <w:r/>
    </w:p>
    <w:p>
      <w:pPr>
        <w:ind w:firstLine="480"/>
        <w:jc w:val="left"/>
        <w:spacing w:line="360" w:lineRule="auto"/>
        <w:tabs>
          <w:tab w:val="left" w:pos="1800" w:leader="none"/>
          <w:tab w:val="left" w:pos="5580" w:leader="none"/>
        </w:tabs>
        <w:rPr>
          <w:rFonts w:hint="eastAsia"/>
          <w:i w:val="0"/>
          <w:iCs w:val="0"/>
          <w:color w:val="auto"/>
          <w:sz w:val="24"/>
          <w:highlight w:val="none"/>
        </w:rPr>
      </w:pPr>
      <w:r>
        <w:rPr>
          <w:i w:val="0"/>
          <w:iCs w:val="0"/>
          <w:color w:val="auto"/>
          <w:sz w:val="24"/>
          <w:highlight w:val="none"/>
        </w:rPr>
        <w:t xml:space="preserve">3.</w:t>
      </w:r>
      <w:r>
        <w:rPr>
          <w:rFonts w:hint="eastAsia"/>
          <w:i w:val="0"/>
          <w:iCs w:val="0"/>
          <w:color w:val="auto"/>
          <w:sz w:val="24"/>
          <w:highlight w:val="none"/>
        </w:rPr>
        <w:t xml:space="preserve">本表行数可以按照项目分项情况增加。</w:t>
      </w:r>
      <w:r/>
    </w:p>
    <w:p>
      <w:pPr>
        <w:ind w:firstLine="480"/>
        <w:jc w:val="left"/>
        <w:spacing w:line="360" w:lineRule="auto"/>
        <w:tabs>
          <w:tab w:val="left" w:pos="1800" w:leader="none"/>
          <w:tab w:val="left" w:pos="5580" w:leader="none"/>
        </w:tabs>
        <w:rPr>
          <w:i w:val="0"/>
          <w:iCs w:val="0"/>
          <w:color w:val="auto"/>
          <w:sz w:val="24"/>
          <w:highlight w:val="none"/>
        </w:rPr>
      </w:pPr>
      <w:r>
        <w:rPr>
          <w:rFonts w:hint="eastAsia"/>
          <w:i w:val="0"/>
          <w:iCs w:val="0"/>
          <w:color w:val="auto"/>
          <w:sz w:val="24"/>
          <w:highlight w:val="none"/>
        </w:rPr>
        <w:t xml:space="preserve">4.</w:t>
      </w:r>
      <w:r>
        <w:rPr>
          <w:i w:val="0"/>
          <w:iCs w:val="0"/>
          <w:color w:val="auto"/>
          <w:sz w:val="24"/>
          <w:highlight w:val="none"/>
        </w:rPr>
        <w:t xml:space="preserve">上述各项的</w:t>
      </w:r>
      <w:r>
        <w:rPr>
          <w:rFonts w:hint="eastAsia"/>
          <w:i w:val="0"/>
          <w:iCs w:val="0"/>
          <w:color w:val="auto"/>
          <w:sz w:val="24"/>
          <w:highlight w:val="none"/>
        </w:rPr>
        <w:t xml:space="preserve">服务内容如表格中填写不下的</w:t>
      </w:r>
      <w:r>
        <w:rPr>
          <w:i w:val="0"/>
          <w:iCs w:val="0"/>
          <w:color w:val="auto"/>
          <w:sz w:val="24"/>
          <w:highlight w:val="none"/>
        </w:rPr>
        <w:t xml:space="preserve">，可</w:t>
      </w:r>
      <w:r>
        <w:rPr>
          <w:rFonts w:hint="eastAsia"/>
          <w:i w:val="0"/>
          <w:iCs w:val="0"/>
          <w:color w:val="auto"/>
          <w:sz w:val="24"/>
          <w:highlight w:val="none"/>
        </w:rPr>
        <w:t xml:space="preserve">以逐项</w:t>
      </w:r>
      <w:r>
        <w:rPr>
          <w:i w:val="0"/>
          <w:iCs w:val="0"/>
          <w:color w:val="auto"/>
          <w:sz w:val="24"/>
          <w:highlight w:val="none"/>
        </w:rPr>
        <w:t xml:space="preserve">另页描述。</w:t>
      </w:r>
      <w:r/>
    </w:p>
    <w:p>
      <w:pPr>
        <w:spacing w:before="25" w:after="25" w:line="360" w:lineRule="auto"/>
        <w:rPr>
          <w:i w:val="0"/>
          <w:iCs w:val="0"/>
          <w:color w:val="auto"/>
          <w:sz w:val="24"/>
          <w:highlight w:val="none"/>
          <w:lang w:val="zh-CN"/>
        </w:rPr>
      </w:pPr>
      <w:r>
        <w:rPr>
          <w:i w:val="0"/>
          <w:iCs w:val="0"/>
          <w:color w:val="auto"/>
          <w:sz w:val="24"/>
          <w:highlight w:val="none"/>
          <w:lang w:val="zh-CN"/>
        </w:rPr>
        <w:t xml:space="preserve">                  </w:t>
      </w:r>
      <w:r/>
    </w:p>
    <w:p>
      <w:pPr>
        <w:spacing w:before="25" w:after="25" w:line="360" w:lineRule="auto"/>
        <w:rPr>
          <w:i w:val="0"/>
          <w:iCs w:val="0"/>
          <w:color w:val="auto"/>
          <w:sz w:val="24"/>
          <w:highlight w:val="none"/>
          <w:lang w:val="zh-CN"/>
        </w:rPr>
      </w:pPr>
      <w:r>
        <w:rPr>
          <w:i w:val="0"/>
          <w:iCs w:val="0"/>
          <w:color w:val="auto"/>
          <w:sz w:val="24"/>
          <w:highlight w:val="none"/>
        </w:rPr>
        <w:t xml:space="preserve">供应商名称（加盖公章）</w:t>
      </w:r>
      <w:r>
        <w:rPr>
          <w:i w:val="0"/>
          <w:iCs w:val="0"/>
          <w:color w:val="auto"/>
          <w:sz w:val="24"/>
          <w:highlight w:val="none"/>
          <w:lang w:val="zh-CN"/>
        </w:rPr>
        <w:t xml:space="preserve">：____________</w:t>
      </w:r>
      <w:r/>
    </w:p>
    <w:p>
      <w:pPr>
        <w:spacing w:before="25" w:after="25" w:line="360" w:lineRule="auto"/>
        <w:rPr>
          <w:i w:val="0"/>
          <w:iCs w:val="0"/>
          <w:color w:val="auto"/>
          <w:sz w:val="24"/>
          <w:highlight w:val="none"/>
          <w:lang w:val="zh-CN"/>
        </w:rPr>
      </w:pPr>
      <w:r>
        <w:rPr>
          <w:i w:val="0"/>
          <w:iCs w:val="0"/>
          <w:color w:val="auto"/>
          <w:sz w:val="24"/>
          <w:szCs w:val="20"/>
          <w:highlight w:val="none"/>
        </w:rPr>
        <w:t xml:space="preserve">日期：_____年______月______日   </w:t>
      </w:r>
      <w:r/>
    </w:p>
    <w:p>
      <w:pPr>
        <w:spacing w:before="25" w:after="25" w:line="360" w:lineRule="auto"/>
        <w:rPr>
          <w:i w:val="0"/>
          <w:iCs w:val="0"/>
          <w:color w:val="auto"/>
          <w:sz w:val="24"/>
          <w:highlight w:val="none"/>
          <w:lang w:val="zh-CN"/>
        </w:rPr>
      </w:pPr>
      <w:r>
        <w:rPr>
          <w:i w:val="0"/>
          <w:iCs w:val="0"/>
          <w:color w:val="auto"/>
          <w:sz w:val="24"/>
          <w:szCs w:val="20"/>
          <w:highlight w:val="none"/>
        </w:rPr>
        <w:t xml:space="preserve">  </w:t>
      </w:r>
      <w:r/>
    </w:p>
    <w:p>
      <w:pPr>
        <w:spacing w:before="25" w:after="25" w:line="360" w:lineRule="auto"/>
        <w:rPr>
          <w:i w:val="0"/>
          <w:iCs w:val="0"/>
          <w:color w:val="auto"/>
          <w:sz w:val="24"/>
          <w:highlight w:val="none"/>
          <w:lang w:val="zh-CN"/>
        </w:rPr>
      </w:pPr>
      <w:r>
        <w:rPr>
          <w:i w:val="0"/>
          <w:iCs w:val="0"/>
          <w:color w:val="auto"/>
          <w:sz w:val="24"/>
          <w:szCs w:val="20"/>
          <w:highlight w:val="none"/>
        </w:rPr>
        <w:t xml:space="preserve">  </w:t>
      </w:r>
      <w:r/>
    </w:p>
    <w:p>
      <w:pPr>
        <w:jc w:val="left"/>
        <w:spacing w:before="240" w:after="240" w:line="360" w:lineRule="auto"/>
        <w:rPr>
          <w:rFonts w:hint="eastAsia"/>
          <w:b/>
          <w:i/>
          <w:color w:val="auto"/>
          <w:sz w:val="24"/>
          <w:highlight w:val="none"/>
        </w:rPr>
      </w:pPr>
      <w:r>
        <w:rPr>
          <w:color w:val="auto"/>
          <w:sz w:val="24"/>
          <w:szCs w:val="20"/>
          <w:highlight w:val="none"/>
        </w:rPr>
        <w:br w:type="page" w:clear="all"/>
      </w:r>
      <w:r/>
    </w:p>
    <w:p>
      <w:pPr>
        <w:keepLines w:val="0"/>
        <w:keepNext w:val="0"/>
        <w:pageBreakBefore w:val="0"/>
        <w:spacing w:line="360" w:lineRule="auto"/>
        <w:widowControl w:val="off"/>
        <w:rPr>
          <w:color w:val="auto"/>
          <w:sz w:val="24"/>
          <w:szCs w:val="20"/>
          <w:highlight w:val="none"/>
        </w:rPr>
        <w:outlineLvl w:val="2"/>
      </w:pPr>
      <w:r>
        <w:rPr>
          <w:color w:val="auto"/>
          <w:sz w:val="24"/>
          <w:szCs w:val="20"/>
          <w:highlight w:val="none"/>
        </w:rPr>
        <w:t xml:space="preserve">9  合同条款偏离表</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
    </w:p>
    <w:p>
      <w:pPr>
        <w:jc w:val="center"/>
        <w:keepLines w:val="0"/>
        <w:keepNext w:val="0"/>
        <w:pageBreakBefore w:val="0"/>
        <w:spacing w:line="360" w:lineRule="auto"/>
        <w:widowControl w:val="off"/>
        <w:rPr>
          <w:b/>
          <w:color w:val="auto"/>
          <w:sz w:val="36"/>
          <w:szCs w:val="36"/>
          <w:highlight w:val="none"/>
        </w:rPr>
      </w:pPr>
      <w:r>
        <w:rPr>
          <w:rFonts w:hint="eastAsia"/>
          <w:b/>
          <w:color w:val="auto"/>
          <w:sz w:val="36"/>
          <w:szCs w:val="36"/>
          <w:highlight w:val="none"/>
        </w:rPr>
        <w:t xml:space="preserve">合同条款偏离表</w:t>
      </w:r>
      <w:r/>
    </w:p>
    <w:p>
      <w:pPr>
        <w:ind w:firstLine="360"/>
        <w:jc w:val="left"/>
        <w:keepLines w:val="0"/>
        <w:keepNext w:val="0"/>
        <w:pageBreakBefore w:val="0"/>
        <w:spacing w:line="360" w:lineRule="auto"/>
        <w:widowControl w:val="off"/>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9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spacing w:line="360" w:lineRule="auto"/>
              <w:rPr>
                <w:b/>
                <w:color w:val="auto"/>
                <w:sz w:val="24"/>
                <w:highlight w:val="none"/>
              </w:rPr>
            </w:pPr>
            <w:r>
              <w:rPr>
                <w:rFonts w:hint="eastAsia"/>
                <w:b/>
                <w:color w:val="auto"/>
                <w:sz w:val="24"/>
                <w:highlight w:val="none"/>
              </w:rPr>
              <w:t xml:space="preserve">对本项目合同条款的偏离情况（请进行勾选）：</w:t>
            </w:r>
            <w:r/>
          </w:p>
          <w:p>
            <w:pPr>
              <w:jc w:val="left"/>
              <w:spacing w:line="360" w:lineRule="auto"/>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spacing w:line="360" w:lineRule="auto"/>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spacing w:line="360" w:lineRule="auto"/>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spacing w:line="360" w:lineRule="auto"/>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t xml:space="preserve">偏离情况</w:t>
            </w:r>
            <w:r/>
          </w:p>
          <w:p>
            <w:pPr>
              <w:jc w:val="center"/>
              <w:spacing w:line="360" w:lineRule="auto"/>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130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00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2458"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W w:w="788" w:type="dxa"/>
            <w:vAlign w:val="center"/>
            <w:textDirection w:val="lrTb"/>
            <w:noWrap w:val="false"/>
          </w:tcPr>
          <w:p>
            <w:pPr>
              <w:jc w:val="center"/>
              <w:spacing w:line="360" w:lineRule="auto"/>
              <w:rPr>
                <w:color w:val="auto"/>
                <w:sz w:val="24"/>
                <w:highlight w:val="none"/>
              </w:rPr>
            </w:pPr>
            <w:r>
              <w:rPr>
                <w:color w:val="auto"/>
                <w:sz w:val="24"/>
                <w:highlight w:val="none"/>
              </w:rPr>
            </w:r>
            <w:r/>
          </w:p>
        </w:tc>
      </w:tr>
    </w:tbl>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10  </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color w:val="auto"/>
          <w:sz w:val="24"/>
          <w:szCs w:val="20"/>
          <w:highlight w:val="none"/>
        </w:rPr>
        <w:t xml:space="preserve">采购需求偏离表</w:t>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6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24"/>
        <w:gridCol w:w="2293"/>
        <w:gridCol w:w="2044"/>
        <w:gridCol w:w="1803"/>
        <w:gridCol w:w="976"/>
      </w:tblGrid>
      <w:tr>
        <w:trPr>
          <w:jc w:val="center"/>
          <w:trHeight w:val="1053"/>
        </w:trPr>
        <w:tc>
          <w:tcPr>
            <w:gridSpan w:val="6"/>
            <w:tcW w:w="5000" w:type="pct"/>
            <w:vAlign w:val="center"/>
            <w:textDirection w:val="lrTb"/>
            <w:noWrap w:val="false"/>
          </w:tcPr>
          <w:p>
            <w:pPr>
              <w:jc w:val="left"/>
              <w:spacing w:line="360" w:lineRule="auto"/>
              <w:rPr>
                <w:b/>
                <w:color w:val="auto"/>
                <w:sz w:val="24"/>
                <w:highlight w:val="none"/>
              </w:rPr>
            </w:pPr>
            <w:r>
              <w:rPr>
                <w:rFonts w:hint="eastAsia"/>
                <w:b/>
                <w:color w:val="auto"/>
                <w:sz w:val="24"/>
                <w:highlight w:val="none"/>
              </w:rPr>
              <w:t xml:space="preserve">对本项目</w:t>
            </w:r>
            <w:r>
              <w:rPr>
                <w:rFonts w:hint="eastAsia"/>
                <w:b/>
                <w:color w:val="auto"/>
                <w:sz w:val="24"/>
                <w:highlight w:val="none"/>
                <w:lang w:val="en-US" w:eastAsia="zh-CN"/>
              </w:rPr>
              <w:t xml:space="preserve">采购需求</w:t>
            </w:r>
            <w:r>
              <w:rPr>
                <w:rFonts w:hint="eastAsia"/>
                <w:b/>
                <w:color w:val="auto"/>
                <w:sz w:val="24"/>
                <w:highlight w:val="none"/>
              </w:rPr>
              <w:t xml:space="preserve">条款的偏离情况（请进行勾选）：</w:t>
            </w:r>
            <w:r/>
          </w:p>
          <w:p>
            <w:pPr>
              <w:jc w:val="left"/>
              <w:spacing w:line="360" w:lineRule="auto"/>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both"/>
              <w:spacing w:line="360" w:lineRule="auto"/>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t xml:space="preserve">序号</w:t>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t xml:space="preserve">磋商文件条目号(页码)</w:t>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t xml:space="preserve">磋商文件要求</w:t>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t xml:space="preserve">响应内容</w:t>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t xml:space="preserve">偏离情况</w:t>
            </w:r>
            <w:r/>
          </w:p>
          <w:p>
            <w:pPr>
              <w:jc w:val="center"/>
              <w:spacing w:line="360" w:lineRule="auto"/>
              <w:rPr>
                <w:color w:val="auto"/>
                <w:sz w:val="24"/>
                <w:highlight w:val="none"/>
              </w:rPr>
            </w:pPr>
            <w:r>
              <w:rPr>
                <w:color w:val="auto"/>
                <w:sz w:val="24"/>
                <w:szCs w:val="21"/>
                <w:highlight w:val="none"/>
              </w:rPr>
              <w:t xml:space="preserve">（据实填写）</w:t>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t xml:space="preserve">说明</w:t>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r>
        <w:trPr>
          <w:jc w:val="center"/>
          <w:trHeight w:val="930"/>
        </w:trPr>
        <w:tc>
          <w:tcPr>
            <w:tcW w:w="400"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767"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235"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110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971" w:type="pct"/>
            <w:vAlign w:val="center"/>
            <w:textDirection w:val="lrTb"/>
            <w:noWrap w:val="false"/>
          </w:tcPr>
          <w:p>
            <w:pPr>
              <w:jc w:val="center"/>
              <w:spacing w:line="360" w:lineRule="auto"/>
              <w:rPr>
                <w:color w:val="auto"/>
                <w:sz w:val="24"/>
                <w:highlight w:val="none"/>
              </w:rPr>
            </w:pPr>
            <w:r>
              <w:rPr>
                <w:color w:val="auto"/>
                <w:sz w:val="24"/>
                <w:highlight w:val="none"/>
              </w:rPr>
            </w:r>
            <w:r/>
          </w:p>
        </w:tc>
        <w:tc>
          <w:tcPr>
            <w:tcW w:w="522" w:type="pct"/>
            <w:vAlign w:val="center"/>
            <w:textDirection w:val="lrTb"/>
            <w:noWrap w:val="false"/>
          </w:tcPr>
          <w:p>
            <w:pPr>
              <w:jc w:val="center"/>
              <w:spacing w:line="360" w:lineRule="auto"/>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注：</w:t>
      </w:r>
      <w:r/>
    </w:p>
    <w:p>
      <w:pPr>
        <w:jc w:val="left"/>
        <w:spacing w:line="360" w:lineRule="auto"/>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spacing w:line="360" w:lineRule="auto"/>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1</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360" w:lineRule="auto"/>
        <w:rPr>
          <w:color w:val="auto"/>
          <w:sz w:val="24"/>
          <w:szCs w:val="20"/>
          <w:highlight w:val="none"/>
        </w:rPr>
      </w:pPr>
      <w:r>
        <w:rPr>
          <w:rFonts w:hint="eastAsia"/>
          <w:color w:val="auto"/>
          <w:sz w:val="24"/>
          <w:szCs w:val="20"/>
          <w:highlight w:val="none"/>
        </w:rPr>
        <w:t xml:space="preserve">1）项目组织实施方案；</w:t>
      </w:r>
      <w:r/>
    </w:p>
    <w:p>
      <w:pPr>
        <w:ind w:firstLine="480"/>
        <w:spacing w:line="360" w:lineRule="auto"/>
        <w:rPr>
          <w:color w:val="auto"/>
          <w:sz w:val="24"/>
          <w:szCs w:val="20"/>
          <w:highlight w:val="none"/>
        </w:rPr>
      </w:pPr>
      <w:r>
        <w:rPr>
          <w:rFonts w:hint="eastAsia"/>
          <w:color w:val="auto"/>
          <w:sz w:val="24"/>
          <w:szCs w:val="20"/>
          <w:highlight w:val="none"/>
        </w:rPr>
        <w:t xml:space="preserve">2）项目管理方案；</w:t>
      </w:r>
      <w:r/>
    </w:p>
    <w:p>
      <w:pPr>
        <w:ind w:firstLine="480"/>
        <w:spacing w:line="360" w:lineRule="auto"/>
        <w:rPr>
          <w:color w:val="auto"/>
          <w:sz w:val="24"/>
          <w:szCs w:val="20"/>
          <w:highlight w:val="none"/>
        </w:rPr>
      </w:pPr>
      <w:r>
        <w:rPr>
          <w:rFonts w:hint="eastAsia"/>
          <w:color w:val="auto"/>
          <w:sz w:val="24"/>
          <w:szCs w:val="20"/>
          <w:highlight w:val="none"/>
        </w:rPr>
        <w:t xml:space="preserve">3）拟达到的标准，配备的人员、设备配置等；</w:t>
      </w:r>
      <w:r/>
    </w:p>
    <w:p>
      <w:pPr>
        <w:ind w:firstLine="480"/>
        <w:spacing w:line="360" w:lineRule="auto"/>
        <w:rPr>
          <w:color w:val="auto"/>
          <w:sz w:val="24"/>
          <w:szCs w:val="20"/>
          <w:highlight w:val="none"/>
        </w:rPr>
      </w:pPr>
      <w:r>
        <w:rPr>
          <w:rFonts w:hint="eastAsia"/>
          <w:color w:val="auto"/>
          <w:sz w:val="24"/>
          <w:szCs w:val="20"/>
          <w:highlight w:val="none"/>
        </w:rPr>
        <w:t xml:space="preserve">4）培训方案、技术支持等方案；</w:t>
      </w:r>
      <w:r/>
    </w:p>
    <w:p>
      <w:pPr>
        <w:ind w:firstLine="480"/>
        <w:spacing w:line="360" w:lineRule="auto"/>
        <w:rPr>
          <w:rFonts w:hint="eastAsia"/>
          <w:color w:val="auto"/>
          <w:sz w:val="24"/>
          <w:szCs w:val="20"/>
          <w:highlight w:val="none"/>
        </w:rPr>
      </w:pPr>
      <w:r>
        <w:rPr>
          <w:rFonts w:hint="eastAsia"/>
          <w:color w:val="auto"/>
          <w:sz w:val="24"/>
          <w:szCs w:val="20"/>
          <w:highlight w:val="none"/>
        </w:rPr>
        <w:t xml:space="preserve">5）优惠条款或承诺；</w:t>
      </w:r>
      <w:r/>
    </w:p>
    <w:p>
      <w:pPr>
        <w:ind w:firstLine="480"/>
        <w:spacing w:line="360" w:lineRule="auto"/>
        <w:rPr>
          <w:color w:val="auto"/>
          <w:sz w:val="24"/>
          <w:szCs w:val="20"/>
          <w:highlight w:val="none"/>
        </w:rPr>
      </w:pPr>
      <w:r>
        <w:rPr>
          <w:rFonts w:hint="eastAsia"/>
          <w:color w:val="auto"/>
          <w:sz w:val="24"/>
          <w:szCs w:val="20"/>
          <w:highlight w:val="none"/>
        </w:rPr>
        <w:t xml:space="preserve">6）其他。</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4"/>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auto"/>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2"/>
          <w:highlight w:val="none"/>
        </w:rPr>
      </w:pPr>
      <w:r>
        <w:rPr>
          <w:color w:val="auto"/>
          <w:sz w:val="22"/>
          <w:highlight w:val="none"/>
        </w:rPr>
        <w:br w:type="page" w:clear="all"/>
      </w:r>
      <w:bookmarkStart w:id="713" w:name="_Toc288738839"/>
      <w:r/>
      <w:bookmarkStart w:id="714" w:name="_Toc288738397"/>
      <w:r/>
      <w:r/>
    </w:p>
    <w:p>
      <w:pPr>
        <w:spacing w:line="360" w:lineRule="auto"/>
        <w:rPr>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相关业绩案例一览表</w:t>
      </w:r>
      <w:r/>
    </w:p>
    <w:p>
      <w:pPr>
        <w:spacing w:line="360" w:lineRule="auto"/>
        <w:rPr>
          <w:color w:val="auto"/>
          <w:sz w:val="24"/>
          <w:szCs w:val="20"/>
          <w:highlight w:val="none"/>
        </w:rPr>
      </w:pPr>
      <w:r>
        <w:rPr>
          <w:color w:val="auto"/>
          <w:sz w:val="24"/>
          <w:szCs w:val="20"/>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13"/>
      <w:r/>
      <w:bookmarkEnd w:id="714"/>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6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项目采购人单位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spacing w:line="360" w:lineRule="auto"/>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highlight w:val="none"/>
        </w:rPr>
        <w:outlineLvl w:val="2"/>
      </w:pPr>
      <w:r>
        <w:rPr>
          <w:color w:val="auto"/>
          <w:sz w:val="24"/>
          <w:szCs w:val="20"/>
          <w:highlight w:val="none"/>
        </w:rPr>
        <w:t xml:space="preserve">1</w:t>
      </w:r>
      <w:r>
        <w:rPr>
          <w:rFonts w:hint="eastAsia"/>
          <w:color w:val="auto"/>
          <w:sz w:val="24"/>
          <w:szCs w:val="20"/>
          <w:highlight w:val="none"/>
          <w:lang w:val="en-US" w:eastAsia="zh-CN"/>
        </w:rPr>
        <w:t xml:space="preserve">4</w:t>
      </w:r>
      <w:r>
        <w:rPr>
          <w:color w:val="auto"/>
          <w:sz w:val="24"/>
          <w:szCs w:val="20"/>
          <w:highlight w:val="none"/>
        </w:rPr>
        <w:t xml:space="preserve">  磋商文件要求提供或供应商认为应附的其他材料</w:t>
      </w:r>
      <w:r/>
    </w:p>
    <w:p>
      <w:pPr>
        <w:spacing w:line="360" w:lineRule="auto"/>
        <w:rPr>
          <w:b/>
          <w:color w:val="auto"/>
          <w:sz w:val="36"/>
          <w:szCs w:val="36"/>
          <w:highlight w:val="none"/>
        </w:rPr>
      </w:pPr>
      <w:r>
        <w:rPr>
          <w:b/>
          <w:color w:val="auto"/>
          <w:sz w:val="36"/>
          <w:szCs w:val="36"/>
          <w:highlight w:val="none"/>
        </w:rPr>
      </w:r>
      <w:r/>
    </w:p>
    <w:p>
      <w:pPr>
        <w:spacing w:line="360" w:lineRule="auto"/>
        <w:rPr>
          <w:color w:val="auto"/>
          <w:sz w:val="24"/>
          <w:highlight w:val="none"/>
          <w:lang w:val="zh-CN"/>
        </w:rPr>
      </w:pPr>
      <w:r>
        <w:rPr>
          <w:color w:val="auto"/>
          <w:sz w:val="24"/>
          <w:szCs w:val="20"/>
          <w:highlight w:val="none"/>
        </w:rPr>
        <w:t xml:space="preserve"> </w:t>
      </w:r>
      <w:r/>
    </w:p>
    <w:p>
      <w:pPr>
        <w:jc w:val="left"/>
        <w:spacing w:line="360" w:lineRule="auto"/>
        <w:widowControl/>
        <w:rPr>
          <w:b/>
          <w:color w:val="auto"/>
          <w:sz w:val="36"/>
          <w:szCs w:val="36"/>
          <w:highlight w:val="none"/>
        </w:rPr>
      </w:pPr>
      <w:r>
        <w:rPr>
          <w:b/>
          <w:color w:val="auto"/>
          <w:sz w:val="36"/>
          <w:szCs w:val="36"/>
          <w:highlight w:val="none"/>
        </w:rPr>
      </w:r>
      <w:r/>
    </w:p>
    <w:p>
      <w:pPr>
        <w:spacing w:line="360" w:lineRule="auto"/>
        <w:rPr>
          <w:color w:val="auto"/>
          <w:highlight w:val="none"/>
        </w:rPr>
      </w:pPr>
      <w:r>
        <w:rPr>
          <w:color w:val="auto"/>
          <w:highlight w:val="none"/>
        </w:rPr>
      </w:r>
      <w:r/>
    </w:p>
    <w:p>
      <w:pPr>
        <w:spacing w:line="360" w:lineRule="auto"/>
        <w:rPr>
          <w:highlight w:val="none"/>
        </w:rPr>
      </w:pPr>
      <w:r>
        <w:rPr>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Calibri">
    <w:panose1 w:val="020F0502020204030204"/>
  </w:font>
  <w:font w:name="Symbol">
    <w:panose1 w:val="05050102010706020507"/>
  </w:font>
  <w:font w:name="Courier New">
    <w:panose1 w:val="02070309020205020404"/>
  </w:font>
  <w:font w:name="仿宋_GB2312">
    <w:panose1 w:val="02010609060101010101"/>
  </w:font>
  <w:font w:name="黑体">
    <w:panose1 w:val="02010609060101010101"/>
  </w:font>
  <w:font w:name="SimSun">
    <w:panose1 w:val="0201060003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4"/>
      </w:rPr>
      <w:framePr w:wrap="around" w:vAnchor="text" w:hAnchor="margin" w:xAlign="center" w:y="1"/>
    </w:pPr>
    <w:r>
      <w:fldChar w:fldCharType="begin"/>
    </w:r>
    <w:r>
      <w:rPr>
        <w:rStyle w:val="974"/>
      </w:rPr>
      <w:instrText xml:space="preserve">PAGE  </w:instrText>
    </w:r>
    <w:r>
      <w:fldChar w:fldCharType="end"/>
    </w:r>
    <w:r/>
  </w:p>
  <w:p>
    <w:pPr>
      <w:pStyle w:val="96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4"/>
      </w:rPr>
      <w:framePr w:wrap="around" w:vAnchor="text" w:hAnchor="margin" w:xAlign="right" w:y="1"/>
    </w:pPr>
    <w:r>
      <w:rPr>
        <w:rStyle w:val="974"/>
      </w:rPr>
      <w:fldChar w:fldCharType="begin"/>
    </w:r>
    <w:r>
      <w:rPr>
        <w:rStyle w:val="974"/>
      </w:rPr>
      <w:instrText xml:space="preserve">PAGE  </w:instrText>
    </w:r>
    <w:r>
      <w:rPr>
        <w:rStyle w:val="974"/>
      </w:rPr>
      <w:fldChar w:fldCharType="end"/>
    </w:r>
    <w:r/>
  </w:p>
  <w:p>
    <w:pPr>
      <w:pStyle w:val="96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4"/>
      </w:rPr>
      <w:framePr w:wrap="around" w:vAnchor="text" w:hAnchor="margin" w:xAlign="right" w:y="1"/>
    </w:pPr>
    <w:r>
      <w:rPr>
        <w:rStyle w:val="974"/>
      </w:rPr>
      <w:fldChar w:fldCharType="begin"/>
    </w:r>
    <w:r>
      <w:rPr>
        <w:rStyle w:val="974"/>
      </w:rPr>
      <w:instrText xml:space="preserve">PAGE  </w:instrText>
    </w:r>
    <w:r>
      <w:rPr>
        <w:rStyle w:val="974"/>
      </w:rPr>
      <w:fldChar w:fldCharType="end"/>
    </w:r>
    <w:r/>
  </w:p>
  <w:p>
    <w:pPr>
      <w:pStyle w:val="96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Bdr>
        <w:bottom w:val="single" w:color="auto"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0"/>
    <w:next w:val="960"/>
    <w:link w:val="791"/>
    <w:uiPriority w:val="9"/>
    <w:qFormat/>
    <w:pPr>
      <w:keepLines/>
      <w:keepNext/>
      <w:spacing w:before="480" w:after="200"/>
      <w:outlineLvl w:val="0"/>
    </w:pPr>
    <w:rPr>
      <w:rFonts w:ascii="Arial" w:hAnsi="Arial" w:eastAsia="Arial" w:cs="Arial"/>
      <w:sz w:val="40"/>
      <w:szCs w:val="40"/>
    </w:rPr>
  </w:style>
  <w:style w:type="character" w:styleId="791">
    <w:name w:val="Heading 1 Char"/>
    <w:basedOn w:val="963"/>
    <w:link w:val="790"/>
    <w:uiPriority w:val="9"/>
    <w:rPr>
      <w:rFonts w:ascii="Arial" w:hAnsi="Arial" w:eastAsia="Arial" w:cs="Arial"/>
      <w:sz w:val="40"/>
      <w:szCs w:val="40"/>
    </w:rPr>
  </w:style>
  <w:style w:type="character" w:styleId="792">
    <w:name w:val="Heading 2 Char"/>
    <w:basedOn w:val="963"/>
    <w:link w:val="961"/>
    <w:uiPriority w:val="9"/>
    <w:rPr>
      <w:rFonts w:ascii="Arial" w:hAnsi="Arial" w:eastAsia="Arial" w:cs="Arial"/>
      <w:sz w:val="34"/>
    </w:rPr>
  </w:style>
  <w:style w:type="character" w:styleId="793">
    <w:name w:val="Heading 3 Char"/>
    <w:basedOn w:val="963"/>
    <w:link w:val="962"/>
    <w:uiPriority w:val="9"/>
    <w:rPr>
      <w:rFonts w:ascii="Arial" w:hAnsi="Arial" w:eastAsia="Arial" w:cs="Arial"/>
      <w:sz w:val="30"/>
      <w:szCs w:val="30"/>
    </w:rPr>
  </w:style>
  <w:style w:type="paragraph" w:styleId="794">
    <w:name w:val="Heading 4"/>
    <w:basedOn w:val="960"/>
    <w:next w:val="960"/>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basedOn w:val="963"/>
    <w:link w:val="794"/>
    <w:uiPriority w:val="9"/>
    <w:rPr>
      <w:rFonts w:ascii="Arial" w:hAnsi="Arial" w:eastAsia="Arial" w:cs="Arial"/>
      <w:b/>
      <w:bCs/>
      <w:sz w:val="26"/>
      <w:szCs w:val="26"/>
    </w:rPr>
  </w:style>
  <w:style w:type="paragraph" w:styleId="796">
    <w:name w:val="Heading 5"/>
    <w:basedOn w:val="960"/>
    <w:next w:val="960"/>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basedOn w:val="963"/>
    <w:link w:val="796"/>
    <w:uiPriority w:val="9"/>
    <w:rPr>
      <w:rFonts w:ascii="Arial" w:hAnsi="Arial" w:eastAsia="Arial" w:cs="Arial"/>
      <w:b/>
      <w:bCs/>
      <w:sz w:val="24"/>
      <w:szCs w:val="24"/>
    </w:rPr>
  </w:style>
  <w:style w:type="paragraph" w:styleId="798">
    <w:name w:val="Heading 6"/>
    <w:basedOn w:val="960"/>
    <w:next w:val="960"/>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basedOn w:val="963"/>
    <w:link w:val="798"/>
    <w:uiPriority w:val="9"/>
    <w:rPr>
      <w:rFonts w:ascii="Arial" w:hAnsi="Arial" w:eastAsia="Arial" w:cs="Arial"/>
      <w:b/>
      <w:bCs/>
      <w:sz w:val="22"/>
      <w:szCs w:val="22"/>
    </w:rPr>
  </w:style>
  <w:style w:type="paragraph" w:styleId="800">
    <w:name w:val="Heading 7"/>
    <w:basedOn w:val="960"/>
    <w:next w:val="960"/>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basedOn w:val="963"/>
    <w:link w:val="800"/>
    <w:uiPriority w:val="9"/>
    <w:rPr>
      <w:rFonts w:ascii="Arial" w:hAnsi="Arial" w:eastAsia="Arial" w:cs="Arial"/>
      <w:b/>
      <w:bCs/>
      <w:i/>
      <w:iCs/>
      <w:sz w:val="22"/>
      <w:szCs w:val="22"/>
    </w:rPr>
  </w:style>
  <w:style w:type="paragraph" w:styleId="802">
    <w:name w:val="Heading 8"/>
    <w:basedOn w:val="960"/>
    <w:next w:val="960"/>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basedOn w:val="963"/>
    <w:link w:val="802"/>
    <w:uiPriority w:val="9"/>
    <w:rPr>
      <w:rFonts w:ascii="Arial" w:hAnsi="Arial" w:eastAsia="Arial" w:cs="Arial"/>
      <w:i/>
      <w:iCs/>
      <w:sz w:val="22"/>
      <w:szCs w:val="22"/>
    </w:rPr>
  </w:style>
  <w:style w:type="paragraph" w:styleId="804">
    <w:name w:val="Heading 9"/>
    <w:basedOn w:val="960"/>
    <w:next w:val="960"/>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basedOn w:val="963"/>
    <w:link w:val="804"/>
    <w:uiPriority w:val="9"/>
    <w:rPr>
      <w:rFonts w:ascii="Arial" w:hAnsi="Arial" w:eastAsia="Arial" w:cs="Arial"/>
      <w:i/>
      <w:iCs/>
      <w:sz w:val="21"/>
      <w:szCs w:val="21"/>
    </w:rPr>
  </w:style>
  <w:style w:type="paragraph" w:styleId="806">
    <w:name w:val="No Spacing"/>
    <w:uiPriority w:val="1"/>
    <w:qFormat/>
    <w:pPr>
      <w:spacing w:before="0" w:after="0" w:line="240" w:lineRule="auto"/>
    </w:pPr>
  </w:style>
  <w:style w:type="paragraph" w:styleId="807">
    <w:name w:val="Title"/>
    <w:basedOn w:val="960"/>
    <w:next w:val="960"/>
    <w:link w:val="808"/>
    <w:uiPriority w:val="10"/>
    <w:qFormat/>
    <w:pPr>
      <w:contextualSpacing/>
      <w:spacing w:before="300" w:after="200"/>
    </w:pPr>
    <w:rPr>
      <w:sz w:val="48"/>
      <w:szCs w:val="48"/>
    </w:rPr>
  </w:style>
  <w:style w:type="character" w:styleId="808">
    <w:name w:val="Title Char"/>
    <w:basedOn w:val="963"/>
    <w:link w:val="807"/>
    <w:uiPriority w:val="10"/>
    <w:rPr>
      <w:sz w:val="48"/>
      <w:szCs w:val="48"/>
    </w:rPr>
  </w:style>
  <w:style w:type="paragraph" w:styleId="809">
    <w:name w:val="Subtitle"/>
    <w:basedOn w:val="960"/>
    <w:next w:val="960"/>
    <w:link w:val="810"/>
    <w:uiPriority w:val="11"/>
    <w:qFormat/>
    <w:pPr>
      <w:spacing w:before="200" w:after="200"/>
    </w:pPr>
    <w:rPr>
      <w:sz w:val="24"/>
      <w:szCs w:val="24"/>
    </w:rPr>
  </w:style>
  <w:style w:type="character" w:styleId="810">
    <w:name w:val="Subtitle Char"/>
    <w:basedOn w:val="963"/>
    <w:link w:val="809"/>
    <w:uiPriority w:val="11"/>
    <w:rPr>
      <w:sz w:val="24"/>
      <w:szCs w:val="24"/>
    </w:rPr>
  </w:style>
  <w:style w:type="paragraph" w:styleId="811">
    <w:name w:val="Quote"/>
    <w:basedOn w:val="960"/>
    <w:next w:val="960"/>
    <w:link w:val="812"/>
    <w:uiPriority w:val="29"/>
    <w:qFormat/>
    <w:pPr>
      <w:ind w:left="720" w:right="720"/>
    </w:pPr>
    <w:rPr>
      <w:i/>
    </w:rPr>
  </w:style>
  <w:style w:type="character" w:styleId="812">
    <w:name w:val="Quote Char"/>
    <w:link w:val="811"/>
    <w:uiPriority w:val="29"/>
    <w:rPr>
      <w:i/>
    </w:rPr>
  </w:style>
  <w:style w:type="paragraph" w:styleId="813">
    <w:name w:val="Intense Quote"/>
    <w:basedOn w:val="960"/>
    <w:next w:val="960"/>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Header Char"/>
    <w:basedOn w:val="963"/>
    <w:link w:val="969"/>
    <w:uiPriority w:val="99"/>
  </w:style>
  <w:style w:type="character" w:styleId="816">
    <w:name w:val="Footer Char"/>
    <w:basedOn w:val="963"/>
    <w:link w:val="968"/>
    <w:uiPriority w:val="99"/>
  </w:style>
  <w:style w:type="paragraph" w:styleId="817">
    <w:name w:val="Caption"/>
    <w:basedOn w:val="960"/>
    <w:next w:val="960"/>
    <w:uiPriority w:val="35"/>
    <w:semiHidden/>
    <w:unhideWhenUsed/>
    <w:qFormat/>
    <w:pPr>
      <w:spacing w:line="276" w:lineRule="auto"/>
    </w:pPr>
    <w:rPr>
      <w:b/>
      <w:bCs/>
      <w:color w:val="4f81bd" w:themeColor="accent1"/>
      <w:sz w:val="18"/>
      <w:szCs w:val="18"/>
    </w:rPr>
  </w:style>
  <w:style w:type="character" w:styleId="818">
    <w:name w:val="Caption Char"/>
    <w:basedOn w:val="817"/>
    <w:link w:val="968"/>
    <w:uiPriority w:val="99"/>
  </w:style>
  <w:style w:type="table" w:styleId="819">
    <w:name w:val="Table Grid Light"/>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5">
    <w:name w:val="Grid Table 5 Dark - Accent 2"/>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6">
    <w:name w:val="Grid Table 5 Dark - Accent 3"/>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7">
    <w:name w:val="Grid Table 5 Dark- Accent 4"/>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8">
    <w:name w:val="Grid Table 5 Dark - Accent 5"/>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9">
    <w:name w:val="Grid Table 5 Dark - Accent 6"/>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0">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7">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0">
    <w:name w:val="List Table 3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1">
    <w:name w:val="List Table 3 - Accent 3"/>
    <w:basedOn w:val="9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2">
    <w:name w:val="List Table 3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3">
    <w:name w:val="List Table 3 - Accent 5"/>
    <w:basedOn w:val="9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4">
    <w:name w:val="List Table 3 - Accent 6"/>
    <w:basedOn w:val="9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5">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7">
    <w:name w:val="List Table 4 - Accent 2"/>
    <w:basedOn w:val="9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8">
    <w:name w:val="List Table 4 - Accent 3"/>
    <w:basedOn w:val="9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9">
    <w:name w:val="List Table 4 - Accent 4"/>
    <w:basedOn w:val="9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0">
    <w:name w:val="List Table 4 - Accent 5"/>
    <w:basedOn w:val="9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1">
    <w:name w:val="List Table 4 - Accent 6"/>
    <w:basedOn w:val="9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2">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1">
    <w:name w:val="List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2">
    <w:name w:val="List Table 6 Colorful - Accent 3"/>
    <w:basedOn w:val="9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3">
    <w:name w:val="List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4">
    <w:name w:val="List Table 6 Colorful - Accent 5"/>
    <w:basedOn w:val="9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5">
    <w:name w:val="List Table 6 Colorful - Accent 6"/>
    <w:basedOn w:val="9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6">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8">
    <w:name w:val="List Table 7 Colorful - Accent 2"/>
    <w:basedOn w:val="9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9">
    <w:name w:val="List Table 7 Colorful - Accent 3"/>
    <w:basedOn w:val="9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0">
    <w:name w:val="List Table 7 Colorful - Accent 4"/>
    <w:basedOn w:val="9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1">
    <w:name w:val="List Table 7 Colorful - Accent 5"/>
    <w:basedOn w:val="9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2">
    <w:name w:val="List Table 7 Colorful - Accent 6"/>
    <w:basedOn w:val="9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3">
    <w:name w:val="Lined - Accent"/>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5">
    <w:name w:val="Lined - Accent 2"/>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6">
    <w:name w:val="Lined - Accent 3"/>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7">
    <w:name w:val="Lined - Accent 4"/>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8">
    <w:name w:val="Lined - Accent 5"/>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9">
    <w:name w:val="Lined - Accent 6"/>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0">
    <w:name w:val="Bordered &amp; Lined - Accent"/>
    <w:basedOn w:val="9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2">
    <w:name w:val="Bordered &amp; Lined - Accent 2"/>
    <w:basedOn w:val="9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3">
    <w:name w:val="Bordered &amp; Lined - Accent 3"/>
    <w:basedOn w:val="9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4">
    <w:name w:val="Bordered &amp; Lined - Accent 4"/>
    <w:basedOn w:val="9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5">
    <w:name w:val="Bordered &amp; Lined - Accent 5"/>
    <w:basedOn w:val="9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6">
    <w:name w:val="Bordered &amp; Lined - Accent 6"/>
    <w:basedOn w:val="9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7">
    <w:name w:val="Bordered"/>
    <w:basedOn w:val="9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60"/>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3"/>
    <w:uiPriority w:val="99"/>
    <w:unhideWhenUsed/>
    <w:rPr>
      <w:vertAlign w:val="superscript"/>
    </w:rPr>
  </w:style>
  <w:style w:type="paragraph" w:styleId="947">
    <w:name w:val="endnote text"/>
    <w:basedOn w:val="960"/>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3"/>
    <w:uiPriority w:val="99"/>
    <w:semiHidden/>
    <w:unhideWhenUsed/>
    <w:rPr>
      <w:vertAlign w:val="superscript"/>
    </w:r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1">
    <w:name w:val="Heading 2"/>
    <w:basedOn w:val="960"/>
    <w:next w:val="965"/>
    <w:uiPriority w:val="0"/>
    <w:qFormat/>
    <w:pPr>
      <w:jc w:val="center"/>
      <w:keepLines/>
      <w:keepNext/>
      <w:spacing w:before="120" w:line="300" w:lineRule="auto"/>
      <w:outlineLvl w:val="1"/>
    </w:pPr>
    <w:rPr>
      <w:rFonts w:ascii="Arial" w:hAnsi="Arial" w:eastAsia="黑体"/>
      <w:b/>
      <w:sz w:val="30"/>
      <w:szCs w:val="20"/>
    </w:rPr>
  </w:style>
  <w:style w:type="paragraph" w:styleId="962">
    <w:name w:val="Heading 3"/>
    <w:basedOn w:val="960"/>
    <w:next w:val="960"/>
    <w:uiPriority w:val="0"/>
    <w:qFormat/>
    <w:pPr>
      <w:jc w:val="left"/>
      <w:keepLines/>
      <w:keepNext/>
      <w:spacing w:before="360" w:after="120"/>
      <w:outlineLvl w:val="2"/>
    </w:pPr>
    <w:rPr>
      <w:rFonts w:ascii="宋体"/>
      <w:b/>
      <w:sz w:val="24"/>
      <w:szCs w:val="20"/>
      <w:u w:val="single"/>
    </w:rPr>
  </w:style>
  <w:style w:type="character" w:styleId="963" w:default="1">
    <w:name w:val="Default Paragraph Font"/>
    <w:uiPriority w:val="0"/>
    <w:semiHidden/>
    <w:qFormat/>
  </w:style>
  <w:style w:type="table" w:styleId="964" w:default="1">
    <w:name w:val="Normal Table"/>
    <w:uiPriority w:val="0"/>
    <w:semiHidden/>
    <w:qFormat/>
    <w:tblPr>
      <w:tblCellMar>
        <w:left w:w="108" w:type="dxa"/>
        <w:top w:w="0" w:type="dxa"/>
        <w:right w:w="108" w:type="dxa"/>
        <w:bottom w:w="0" w:type="dxa"/>
      </w:tblCellMar>
    </w:tblPr>
  </w:style>
  <w:style w:type="paragraph" w:styleId="965">
    <w:name w:val="Normal Indent"/>
    <w:basedOn w:val="960"/>
    <w:uiPriority w:val="0"/>
    <w:qFormat/>
    <w:pPr>
      <w:ind w:firstLine="420"/>
      <w:jc w:val="left"/>
    </w:pPr>
    <w:rPr>
      <w:rFonts w:ascii="宋体"/>
      <w:sz w:val="24"/>
    </w:rPr>
  </w:style>
  <w:style w:type="paragraph" w:styleId="966">
    <w:name w:val="Body Text"/>
    <w:basedOn w:val="960"/>
    <w:next w:val="960"/>
    <w:uiPriority w:val="0"/>
    <w:qFormat/>
    <w:pPr>
      <w:spacing w:before="120" w:line="22" w:lineRule="atLeast"/>
      <w:tabs>
        <w:tab w:val="left" w:pos="567" w:leader="none"/>
      </w:tabs>
    </w:pPr>
    <w:rPr>
      <w:rFonts w:ascii="宋体" w:hAnsi="宋体"/>
      <w:sz w:val="24"/>
    </w:rPr>
  </w:style>
  <w:style w:type="paragraph" w:styleId="967">
    <w:name w:val="Plain Text"/>
    <w:basedOn w:val="960"/>
    <w:next w:val="960"/>
    <w:uiPriority w:val="0"/>
    <w:qFormat/>
    <w:rPr>
      <w:rFonts w:hint="eastAsia" w:ascii="宋体" w:hAnsi="Courier New"/>
      <w:szCs w:val="20"/>
    </w:rPr>
  </w:style>
  <w:style w:type="paragraph" w:styleId="968">
    <w:name w:val="Footer"/>
    <w:basedOn w:val="960"/>
    <w:uiPriority w:val="99"/>
    <w:qFormat/>
    <w:pPr>
      <w:jc w:val="left"/>
      <w:tabs>
        <w:tab w:val="center" w:pos="4153" w:leader="none"/>
        <w:tab w:val="right" w:pos="8306" w:leader="none"/>
      </w:tabs>
    </w:pPr>
    <w:rPr>
      <w:rFonts w:ascii="宋体"/>
      <w:sz w:val="18"/>
      <w:szCs w:val="20"/>
    </w:rPr>
  </w:style>
  <w:style w:type="paragraph" w:styleId="969">
    <w:name w:val="Header"/>
    <w:basedOn w:val="960"/>
    <w:uiPriority w:val="0"/>
    <w:qFormat/>
    <w:pPr>
      <w:jc w:val="center"/>
      <w:tabs>
        <w:tab w:val="center" w:pos="4153" w:leader="none"/>
        <w:tab w:val="right" w:pos="8306" w:leader="none"/>
      </w:tabs>
      <w:pBdr>
        <w:bottom w:val="single" w:color="auto" w:sz="6" w:space="1"/>
      </w:pBdr>
    </w:pPr>
    <w:rPr>
      <w:sz w:val="18"/>
      <w:szCs w:val="18"/>
    </w:rPr>
  </w:style>
  <w:style w:type="paragraph" w:styleId="970">
    <w:name w:val="toc 1"/>
    <w:basedOn w:val="960"/>
    <w:next w:val="960"/>
    <w:uiPriority w:val="39"/>
    <w:qFormat/>
    <w:pPr>
      <w:spacing w:line="300" w:lineRule="auto"/>
      <w:tabs>
        <w:tab w:val="left" w:pos="1050" w:leader="none"/>
        <w:tab w:val="right" w:pos="8937" w:leader="dot"/>
      </w:tabs>
    </w:pPr>
    <w:rPr>
      <w:rFonts w:ascii="宋体" w:hAnsi="宋体"/>
      <w:b/>
      <w:sz w:val="24"/>
    </w:rPr>
  </w:style>
  <w:style w:type="paragraph" w:styleId="971">
    <w:name w:val="Normal (Web)"/>
    <w:basedOn w:val="960"/>
    <w:uiPriority w:val="99"/>
    <w:semiHidden/>
    <w:unhideWhenUsed/>
    <w:qFormat/>
    <w:pPr>
      <w:spacing w:before="100" w:beforeAutospacing="1" w:after="100" w:afterAutospacing="1"/>
    </w:pPr>
  </w:style>
  <w:style w:type="paragraph" w:styleId="972">
    <w:name w:val="Body Text First Indent"/>
    <w:basedOn w:val="966"/>
    <w:uiPriority w:val="0"/>
    <w:qFormat/>
    <w:pPr>
      <w:ind w:firstLine="200"/>
      <w:spacing w:line="360" w:lineRule="auto"/>
    </w:pPr>
    <w:rPr>
      <w:rFonts w:ascii="仿宋_GB2312" w:hAnsi="Arial" w:eastAsia="仿宋_GB2312"/>
      <w:sz w:val="30"/>
      <w:szCs w:val="30"/>
    </w:rPr>
  </w:style>
  <w:style w:type="table" w:styleId="973">
    <w:name w:val="Table Grid"/>
    <w:basedOn w:val="9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page number"/>
    <w:basedOn w:val="963"/>
    <w:uiPriority w:val="0"/>
    <w:qFormat/>
  </w:style>
  <w:style w:type="character" w:styleId="975">
    <w:name w:val="Hyperlink"/>
    <w:uiPriority w:val="99"/>
    <w:qFormat/>
    <w:rPr>
      <w:color w:val="0000ff"/>
      <w:u w:val="single"/>
    </w:rPr>
  </w:style>
  <w:style w:type="paragraph" w:styleId="976" w:customStyle="1">
    <w:name w:val="首行缩进"/>
    <w:basedOn w:val="960"/>
    <w:uiPriority w:val="0"/>
    <w:qFormat/>
    <w:pPr>
      <w:ind w:firstLine="480"/>
    </w:pPr>
    <w:rPr>
      <w:lang w:val="zh-CN"/>
    </w:rPr>
  </w:style>
  <w:style w:type="paragraph" w:styleId="97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78">
    <w:name w:val="List Paragraph"/>
    <w:basedOn w:val="960"/>
    <w:uiPriority w:val="34"/>
    <w:qFormat/>
    <w:pPr>
      <w:ind w:firstLine="420"/>
    </w:pPr>
    <w:rPr>
      <w:rFonts w:ascii="Calibri" w:hAnsi="Calibri"/>
      <w:szCs w:val="22"/>
    </w:rPr>
  </w:style>
  <w:style w:type="paragraph" w:styleId="979" w:customStyle="1">
    <w:name w:val="图例"/>
    <w:basedOn w:val="960"/>
    <w:uiPriority w:val="0"/>
    <w:qFormat/>
    <w:pPr>
      <w:jc w:val="center"/>
      <w:spacing w:before="120" w:after="120" w:line="360" w:lineRule="auto"/>
    </w:pPr>
    <w:rPr>
      <w:rFonts w:eastAsia="仿宋_GB2312"/>
      <w:b/>
      <w:sz w:val="24"/>
      <w:szCs w:val="20"/>
    </w:rPr>
  </w:style>
  <w:style w:type="paragraph" w:styleId="980" w:customStyle="1">
    <w:name w:val="Table Paragraph"/>
    <w:basedOn w:val="960"/>
    <w:uiPriority w:val="1"/>
    <w:qFormat/>
    <w:pPr>
      <w:jc w:val="left"/>
    </w:pPr>
    <w:rPr>
      <w:rFonts w:ascii="宋体" w:hAnsi="宋体" w:cs="宋体"/>
      <w:sz w:val="22"/>
      <w:szCs w:val="22"/>
      <w:lang w:eastAsia="en-US"/>
    </w:rPr>
  </w:style>
  <w:style w:type="paragraph" w:styleId="981" w:customStyle="1">
    <w:name w:val="成文日期"/>
    <w:basedOn w:val="960"/>
    <w:uiPriority w:val="0"/>
    <w:qFormat/>
    <w:pPr>
      <w:ind w:right="400" w:firstLine="200"/>
      <w:jc w:val="right"/>
      <w:spacing w:line="570" w:lineRule="exact"/>
    </w:pPr>
    <w:rPr>
      <w:rFonts w:ascii="仿宋_GB2312" w:eastAsia="仿宋_GB2312"/>
      <w:sz w:val="32"/>
      <w:szCs w:val="20"/>
    </w:rPr>
  </w:style>
  <w:style w:type="paragraph" w:styleId="982" w:customStyle="1">
    <w:name w:val="纯文本1"/>
    <w:basedOn w:val="960"/>
    <w:uiPriority w:val="0"/>
    <w:qFormat/>
    <w:rPr>
      <w:rFonts w:ascii="宋体" w:hAnsi="Courier New"/>
      <w:szCs w:val="22"/>
    </w:rPr>
  </w:style>
  <w:style w:type="paragraph" w:styleId="983" w:customStyle="1">
    <w:name w:val="Body text|1"/>
    <w:basedOn w:val="960"/>
    <w:uiPriority w:val="0"/>
    <w:qFormat/>
    <w:pPr>
      <w:ind w:firstLine="400"/>
      <w:spacing w:line="396" w:lineRule="auto"/>
      <w:shd w:val="clear" w:color="auto" w:fill="auto"/>
      <w:widowControl w:val="off"/>
    </w:pPr>
    <w:rPr>
      <w:rFonts w:ascii="宋体" w:hAnsi="宋体" w:eastAsia="宋体" w:cs="宋体"/>
      <w:sz w:val="26"/>
      <w:szCs w:val="26"/>
      <w:u w:val="none"/>
      <w:shd w:val="clear" w:color="auto" w:fill="auto"/>
      <w:lang w:val="zh-TW" w:eastAsia="zh-TW" w:bidi="zh-TW"/>
    </w:rPr>
  </w:style>
  <w:style w:type="table" w:styleId="984" w:customStyle="1">
    <w:name w:val="网格型1"/>
    <w:uiPriority w:val="39"/>
    <w:qFormat/>
    <w:tblPr/>
  </w:style>
  <w:style w:type="paragraph" w:styleId="985" w:customStyle="1">
    <w:name w:val="正文首行缩进 21"/>
    <w:uiPriority w:val="0"/>
    <w:qFormat/>
    <w:pPr>
      <w:ind w:left="420" w:firstLine="420"/>
      <w:jc w:val="both"/>
      <w:spacing w:after="120" w:line="480" w:lineRule="exact"/>
      <w:widowControl w:val="off"/>
    </w:pPr>
    <w:rPr>
      <w:rFonts w:hint="default" w:ascii="Times New Roman" w:hAnsi="Times New Roman" w:eastAsia="宋体" w:cs="Times New Roman"/>
      <w:sz w:val="24"/>
      <w:szCs w:val="20"/>
      <w:lang w:val="en-US" w:eastAsia="zh-CN" w:bidi="ar-SA"/>
    </w:rPr>
  </w:style>
  <w:style w:type="paragraph" w:styleId="986" w:customStyle="1">
    <w:name w:val="段"/>
    <w:next w:val="960"/>
    <w:uiPriority w:val="0"/>
    <w:qFormat/>
    <w:pPr>
      <w:ind w:firstLine="200"/>
      <w:jc w:val="both"/>
    </w:pPr>
    <w:rPr>
      <w:rFonts w:ascii="宋体" w:hAnsi="Times New Roman" w:eastAsia="Times New Roman" w:cs="Times New Roman"/>
      <w:sz w:val="21"/>
      <w:lang w:val="en-US" w:eastAsia="zh-CN" w:bidi="ar-SA"/>
    </w:rPr>
  </w:style>
  <w:style w:type="table" w:styleId="987" w:customStyle="1">
    <w:name w:val="Table Normal"/>
    <w:uiPriority w:val="2"/>
    <w:semiHidden/>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988" w:customStyle="1">
    <w:name w:val="Table Text"/>
    <w:uiPriority w:val="0"/>
    <w:semiHidden/>
    <w:qFormat/>
    <w:pPr>
      <w:jc w:val="left"/>
      <w:spacing w:line="240" w:lineRule="auto"/>
    </w:pPr>
    <w:rPr>
      <w:rFonts w:ascii="宋体" w:hAnsi="宋体" w:eastAsia="宋体" w:cs="宋体"/>
      <w:color w:val="000000"/>
      <w:sz w:val="20"/>
      <w:szCs w:val="20"/>
      <w:lang w:val="en-US" w:eastAsia="en-US"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 Felix＿C</dc:creator>
  <cp:lastModifiedBy>张雷</cp:lastModifiedBy>
  <cp:revision>3</cp:revision>
  <dcterms:created xsi:type="dcterms:W3CDTF">2022-10-18T11:29:00Z</dcterms:created>
  <dcterms:modified xsi:type="dcterms:W3CDTF">2026-01-15T06:12:08Z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59481DF129A74CB29E1ABF880344F7BF_13</vt:lpwstr>
  </property>
  <property fmtid="{D5CDD505-2E9C-101B-9397-08002B2CF9AE}" pid="4" name="KSOTemplateDocerSaveRecord">
    <vt:lpwstr>eyJoZGlkIjoiODNiYTYxOTc5M2I2ZGYzMzU0MDQzNmE4YzI2OTJhZjkiLCJ1c2VySWQiOiI3NTk4OTY0MjcifQ==</vt:lpwstr>
  </property>
</Properties>
</file>